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AFFE22" wp14:paraId="2C078E63" wp14:textId="450FE644">
      <w:pPr>
        <w:rPr>
          <w:b w:val="1"/>
          <w:bCs w:val="1"/>
          <w:u w:val="single"/>
        </w:rPr>
      </w:pPr>
      <w:r w:rsidRPr="39AFFE22" w:rsidR="3C7929B0">
        <w:rPr>
          <w:b w:val="1"/>
          <w:bCs w:val="1"/>
          <w:u w:val="single"/>
        </w:rPr>
        <w:t>PEM Conference References</w:t>
      </w:r>
    </w:p>
    <w:p w:rsidR="3C7929B0" w:rsidP="39AFFE22" w:rsidRDefault="3C7929B0" w14:paraId="406DE8FF" w14:textId="2C0C0930">
      <w:pPr>
        <w:pStyle w:val="Normal"/>
        <w:rPr>
          <w:rFonts w:ascii="Aptos" w:hAnsi="Aptos" w:eastAsia="Aptos" w:cs="Aptos"/>
          <w:noProof w:val="0"/>
          <w:sz w:val="24"/>
          <w:szCs w:val="24"/>
          <w:lang w:val="en-US"/>
        </w:rPr>
      </w:pPr>
      <w:r w:rsidRPr="39AFFE22" w:rsidR="3C7929B0">
        <w:rPr>
          <w:rFonts w:ascii="Aptos" w:hAnsi="Aptos" w:eastAsia="Aptos" w:cs="Aptos"/>
          <w:noProof w:val="0"/>
          <w:sz w:val="24"/>
          <w:szCs w:val="24"/>
          <w:lang w:val="en-US"/>
        </w:rPr>
        <w:t xml:space="preserve">Volkow ND, Baler RD, Compton WM, Weiss SR. Adverse health effects of marijuana use. N Engl J Med. 2014 Jun 5;370(23):2219-27.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10.1056/NEJMra1402309. PMID: 24897085; PMCID: PMC4827335. </w:t>
      </w:r>
    </w:p>
    <w:p w:rsidR="3C7929B0" w:rsidP="39AFFE22" w:rsidRDefault="3C7929B0" w14:paraId="510BCCF0" w14:textId="51341989">
      <w:pPr>
        <w:pStyle w:val="Normal"/>
      </w:pPr>
      <w:r w:rsidRPr="39AFFE22" w:rsidR="3C7929B0">
        <w:rPr>
          <w:rFonts w:ascii="Aptos" w:hAnsi="Aptos" w:eastAsia="Aptos" w:cs="Aptos"/>
          <w:noProof w:val="0"/>
          <w:sz w:val="24"/>
          <w:szCs w:val="24"/>
          <w:lang w:val="en-US"/>
        </w:rPr>
        <w:t xml:space="preserve">Harrison ME, Kanbur N, Canton K, Desai TS, Lim-Reinders S, Groulx C, Norris ML. Adolescents' Cannabis Knowledge and Risk Perception: A Systematic Review. J Adolesc Health. 2024 Mar;74(3):402-440. doi: 10.1016/j.jadohealth.2023.09.014. Epub 2023 Nov 15. PMID: 37966406. </w:t>
      </w:r>
    </w:p>
    <w:p w:rsidR="3C7929B0" w:rsidP="39AFFE22" w:rsidRDefault="3C7929B0" w14:paraId="2A431DCC" w14:textId="686C8025">
      <w:pPr>
        <w:pStyle w:val="Normal"/>
      </w:pPr>
      <w:r w:rsidRPr="39AFFE22" w:rsidR="3C7929B0">
        <w:rPr>
          <w:rFonts w:ascii="Aptos" w:hAnsi="Aptos" w:eastAsia="Aptos" w:cs="Aptos"/>
          <w:noProof w:val="0"/>
          <w:sz w:val="24"/>
          <w:szCs w:val="24"/>
          <w:lang w:val="en-US"/>
        </w:rPr>
        <w:t xml:space="preserve">Bailey JA, Tiberio SS, Kerr DCR, Epstein M, Henry KL, Capaldi DM. Effects of Cannabis Legalization on Adolescent Cannabis Use Across 3 Studies. Am J Prev Med. 2023 Mar;64(3):361-367. doi: 10.1016/j.amepre.2022.09.019. Epub 2022 Nov 10. PMID: 36372654; PMCID: PMC9975019. </w:t>
      </w:r>
    </w:p>
    <w:p w:rsidR="3C7929B0" w:rsidP="39AFFE22" w:rsidRDefault="3C7929B0" w14:paraId="456C6502" w14:textId="474A530C">
      <w:pPr>
        <w:pStyle w:val="Normal"/>
      </w:pPr>
      <w:r w:rsidRPr="39AFFE22" w:rsidR="3C7929B0">
        <w:rPr>
          <w:rFonts w:ascii="Aptos" w:hAnsi="Aptos" w:eastAsia="Aptos" w:cs="Aptos"/>
          <w:noProof w:val="0"/>
          <w:sz w:val="24"/>
          <w:szCs w:val="24"/>
          <w:lang w:val="en-US"/>
        </w:rPr>
        <w:t xml:space="preserve">Hall W, Lynskey M. Assessing the public health impacts of legalizing recreational cannabis use: the US experience. World Psychiatry. 2020 Jun;19(2):179-186. doi: 10.1002/wps.20735. PMID: 32394566; PMCID: PMC7215066. </w:t>
      </w:r>
    </w:p>
    <w:p w:rsidR="3C7929B0" w:rsidP="39AFFE22" w:rsidRDefault="3C7929B0" w14:paraId="6ECAF115" w14:textId="6369146E">
      <w:pPr>
        <w:pStyle w:val="Normal"/>
      </w:pPr>
      <w:r w:rsidRPr="39AFFE22" w:rsidR="3C7929B0">
        <w:rPr>
          <w:rFonts w:ascii="Aptos" w:hAnsi="Aptos" w:eastAsia="Aptos" w:cs="Aptos"/>
          <w:noProof w:val="0"/>
          <w:sz w:val="24"/>
          <w:szCs w:val="24"/>
          <w:lang w:val="en-US"/>
        </w:rPr>
        <w:t xml:space="preserve">Orsini MM, Vuolo M, Kelly BC. Adolescent Cannabis Use During a Period of Rapid Policy Change: Evidence From the PATH Study. J Adolesc Health. 2023 Mar;72(3):412-418. doi: 10.1016/j.jadohealth.2022.10.010. Epub 2022 Dec 5. PMID: 36481251. </w:t>
      </w:r>
    </w:p>
    <w:p w:rsidR="3C7929B0" w:rsidP="39AFFE22" w:rsidRDefault="3C7929B0" w14:paraId="2B13376A" w14:textId="5F4109D8">
      <w:pPr>
        <w:pStyle w:val="Normal"/>
      </w:pPr>
      <w:r w:rsidRPr="39AFFE22" w:rsidR="3C7929B0">
        <w:rPr>
          <w:rFonts w:ascii="Aptos" w:hAnsi="Aptos" w:eastAsia="Aptos" w:cs="Aptos"/>
          <w:noProof w:val="0"/>
          <w:sz w:val="24"/>
          <w:szCs w:val="24"/>
          <w:lang w:val="en-US"/>
        </w:rPr>
        <w:t xml:space="preserve">Roehler DR, Smith H 4th, Radhakrishnan L, Holland KM, Gates AL, Vivolo-Kantor AM, Hoots BE. Cannabis-Involved Emergency Department Visits Among Persons Aged &lt;25 Years Before and During the COVID-19 Pandemic - United States, 2019-2022. MMWR Morb Mortal Wkly Rep. 2023 Jul 14;72(28):758-765. doi: 10.15585/mmwr.mm7228a1. PMID: 37440436; PMCID: PMC10360609. </w:t>
      </w:r>
    </w:p>
    <w:p w:rsidR="3C7929B0" w:rsidP="39AFFE22" w:rsidRDefault="3C7929B0" w14:paraId="29C2035E" w14:textId="171DA152">
      <w:pPr>
        <w:pStyle w:val="Normal"/>
      </w:pPr>
      <w:r w:rsidRPr="39AFFE22" w:rsidR="3C7929B0">
        <w:rPr>
          <w:rFonts w:ascii="Aptos" w:hAnsi="Aptos" w:eastAsia="Aptos" w:cs="Aptos"/>
          <w:noProof w:val="0"/>
          <w:sz w:val="24"/>
          <w:szCs w:val="24"/>
          <w:lang w:val="en-US"/>
        </w:rPr>
        <w:t xml:space="preserve">Masonbrink AR, Richardson T, Hall M, Catley D, Wilson K. Trends in Adolescent Cannabis-Related Hospitalizations by State Legalization Laws, 2008-2019. J Adolesc Health. 2021 Dec;69(6):999-1005. doi: 10.1016/j.jadohealth.2021.07.028. Epub 2021 Sep 10. PMID: 34511329. </w:t>
      </w:r>
    </w:p>
    <w:p w:rsidR="3C7929B0" w:rsidP="39AFFE22" w:rsidRDefault="3C7929B0" w14:paraId="5518A6AD" w14:textId="5BBC3970">
      <w:pPr>
        <w:pStyle w:val="Normal"/>
      </w:pPr>
      <w:r w:rsidRPr="39AFFE22" w:rsidR="3C7929B0">
        <w:rPr>
          <w:rFonts w:ascii="Aptos" w:hAnsi="Aptos" w:eastAsia="Aptos" w:cs="Aptos"/>
          <w:noProof w:val="0"/>
          <w:sz w:val="24"/>
          <w:szCs w:val="24"/>
          <w:lang w:val="en-US"/>
        </w:rPr>
        <w:t xml:space="preserve">Wang GS, Le Lait MC, Deakyne SJ, Bronstein AC, Bajaj L, Roosevelt G. Unintentional Pediatric Exposures to Marijuana in Colorado, 2009-2015. JAMA </w:t>
      </w:r>
      <w:r w:rsidRPr="39AFFE22" w:rsidR="3C7929B0">
        <w:rPr>
          <w:rFonts w:ascii="Aptos" w:hAnsi="Aptos" w:eastAsia="Aptos" w:cs="Aptos"/>
          <w:noProof w:val="0"/>
          <w:sz w:val="24"/>
          <w:szCs w:val="24"/>
          <w:lang w:val="en-US"/>
        </w:rPr>
        <w:t>Pediatr</w:t>
      </w:r>
      <w:r w:rsidRPr="39AFFE22" w:rsidR="3C7929B0">
        <w:rPr>
          <w:rFonts w:ascii="Aptos" w:hAnsi="Aptos" w:eastAsia="Aptos" w:cs="Aptos"/>
          <w:noProof w:val="0"/>
          <w:sz w:val="24"/>
          <w:szCs w:val="24"/>
          <w:lang w:val="en-US"/>
        </w:rPr>
        <w:t>. 2016 Sep 6;170(9</w:t>
      </w:r>
      <w:r w:rsidRPr="39AFFE22" w:rsidR="3C7929B0">
        <w:rPr>
          <w:rFonts w:ascii="Aptos" w:hAnsi="Aptos" w:eastAsia="Aptos" w:cs="Aptos"/>
          <w:noProof w:val="0"/>
          <w:sz w:val="24"/>
          <w:szCs w:val="24"/>
          <w:lang w:val="en-US"/>
        </w:rPr>
        <w:t>):e</w:t>
      </w:r>
      <w:r w:rsidRPr="39AFFE22" w:rsidR="3C7929B0">
        <w:rPr>
          <w:rFonts w:ascii="Aptos" w:hAnsi="Aptos" w:eastAsia="Aptos" w:cs="Aptos"/>
          <w:noProof w:val="0"/>
          <w:sz w:val="24"/>
          <w:szCs w:val="24"/>
          <w:lang w:val="en-US"/>
        </w:rPr>
        <w:t xml:space="preserve">160971.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10.1001/jamapediatrics.2016.0971. </w:t>
      </w:r>
      <w:r w:rsidRPr="39AFFE22" w:rsidR="3C7929B0">
        <w:rPr>
          <w:rFonts w:ascii="Aptos" w:hAnsi="Aptos" w:eastAsia="Aptos" w:cs="Aptos"/>
          <w:noProof w:val="0"/>
          <w:sz w:val="24"/>
          <w:szCs w:val="24"/>
          <w:lang w:val="en-US"/>
        </w:rPr>
        <w:t>Epub</w:t>
      </w:r>
      <w:r w:rsidRPr="39AFFE22" w:rsidR="3C7929B0">
        <w:rPr>
          <w:rFonts w:ascii="Aptos" w:hAnsi="Aptos" w:eastAsia="Aptos" w:cs="Aptos"/>
          <w:noProof w:val="0"/>
          <w:sz w:val="24"/>
          <w:szCs w:val="24"/>
          <w:lang w:val="en-US"/>
        </w:rPr>
        <w:t xml:space="preserve"> 2016 Sep 6. PMID: 27454910. </w:t>
      </w:r>
    </w:p>
    <w:p w:rsidR="3C7929B0" w:rsidP="39AFFE22" w:rsidRDefault="3C7929B0" w14:paraId="0D7F1EC7" w14:textId="310EAA00">
      <w:pPr>
        <w:pStyle w:val="Normal"/>
      </w:pPr>
      <w:r w:rsidRPr="39AFFE22" w:rsidR="3C7929B0">
        <w:rPr>
          <w:rFonts w:ascii="Aptos" w:hAnsi="Aptos" w:eastAsia="Aptos" w:cs="Aptos"/>
          <w:noProof w:val="0"/>
          <w:sz w:val="24"/>
          <w:szCs w:val="24"/>
          <w:lang w:val="en-US"/>
        </w:rPr>
        <w:t xml:space="preserve"> </w:t>
      </w:r>
      <w:r w:rsidRPr="39AFFE22" w:rsidR="3C7929B0">
        <w:rPr>
          <w:rFonts w:ascii="Aptos" w:hAnsi="Aptos" w:eastAsia="Aptos" w:cs="Aptos"/>
          <w:noProof w:val="0"/>
          <w:sz w:val="24"/>
          <w:szCs w:val="24"/>
          <w:lang w:val="en-US"/>
        </w:rPr>
        <w:t xml:space="preserve">Whitehill JM, Dilley JA, Brooks-Russell A, Terpak L, Graves JM. Edible Cannabis Exposures Among Children: 2017-2019. Pediatrics. 2021 Apr;147(4):e2020019893. doi: 10.1542/peds.2020-019893. Epub 2021 Mar 22. PMID: 33753541. </w:t>
      </w:r>
    </w:p>
    <w:p w:rsidR="3C7929B0" w:rsidP="39AFFE22" w:rsidRDefault="3C7929B0" w14:paraId="6C9884CE" w14:textId="0FD436D1">
      <w:pPr>
        <w:pStyle w:val="Normal"/>
      </w:pPr>
      <w:r w:rsidRPr="39AFFE22" w:rsidR="3C7929B0">
        <w:rPr>
          <w:rFonts w:ascii="Aptos" w:hAnsi="Aptos" w:eastAsia="Aptos" w:cs="Aptos"/>
          <w:noProof w:val="0"/>
          <w:sz w:val="24"/>
          <w:szCs w:val="24"/>
          <w:lang w:val="en-US"/>
        </w:rPr>
        <w:t xml:space="preserve">Tweet MS, Nemanich A, Wahl M. Pediatric Edible Cannabis Exposures and Acute Toxicity: 2017-2021. Pediatrics. 2023 Feb 1;151(2):e2022057761. doi: 10.1542/peds.2022-057761. PMID: 36594224. </w:t>
      </w:r>
    </w:p>
    <w:p w:rsidR="3C7929B0" w:rsidP="39AFFE22" w:rsidRDefault="3C7929B0" w14:paraId="558EDA4E" w14:textId="07E04C01">
      <w:pPr>
        <w:pStyle w:val="Normal"/>
      </w:pPr>
      <w:r w:rsidRPr="39AFFE22" w:rsidR="3C7929B0">
        <w:rPr>
          <w:rFonts w:ascii="Aptos" w:hAnsi="Aptos" w:eastAsia="Aptos" w:cs="Aptos"/>
          <w:noProof w:val="0"/>
          <w:sz w:val="24"/>
          <w:szCs w:val="24"/>
          <w:lang w:val="en-US"/>
        </w:rPr>
        <w:t xml:space="preserve">Borodovsky JT, Lee DC, Crosier BS, Gabrielli JL, Sargent JD, Budney AJ. U.S. cannabis legalization and use of vaping and edible products among youth. Drug Alcohol Depend. 2017 Aug 1;177:299-306. doi: 10.1016/j.drugalcdep.2017.02.017. Epub 2017 Jun 9. PMID: 28662974; PMCID: PMC5534375. </w:t>
      </w:r>
    </w:p>
    <w:p w:rsidR="3C7929B0" w:rsidP="39AFFE22" w:rsidRDefault="3C7929B0" w14:paraId="29B3C89F" w14:textId="119DAE66">
      <w:pPr>
        <w:pStyle w:val="Normal"/>
      </w:pPr>
      <w:r w:rsidRPr="39AFFE22" w:rsidR="3C7929B0">
        <w:rPr>
          <w:rFonts w:ascii="Aptos" w:hAnsi="Aptos" w:eastAsia="Aptos" w:cs="Aptos"/>
          <w:noProof w:val="0"/>
          <w:sz w:val="24"/>
          <w:szCs w:val="24"/>
          <w:lang w:val="en-US"/>
        </w:rPr>
        <w:t xml:space="preserve">ElSohly MA, Mehmedic Z, Foster S, Gon C, Chandra S, Church JC. Changes in Cannabis Potency Over the Last 2 Decades (1995-2014): Analysis of Current Data in the United States. Biol Psychiatry. 2016 Apr 1;79(7):613-9. doi: 10.1016/j.biopsych.2016.01.004. Epub 2016 Jan 19. PMID: 26903403; PMCID: PMC4987131. </w:t>
      </w:r>
    </w:p>
    <w:p w:rsidR="3C7929B0" w:rsidP="39AFFE22" w:rsidRDefault="3C7929B0" w14:paraId="7BA69C6D" w14:textId="6A3F17A2">
      <w:pPr>
        <w:pStyle w:val="Normal"/>
      </w:pPr>
      <w:r w:rsidRPr="39AFFE22" w:rsidR="3C7929B0">
        <w:rPr>
          <w:rFonts w:ascii="Aptos" w:hAnsi="Aptos" w:eastAsia="Aptos" w:cs="Aptos"/>
          <w:noProof w:val="0"/>
          <w:sz w:val="24"/>
          <w:szCs w:val="24"/>
          <w:lang w:val="en-US"/>
        </w:rPr>
        <w:t xml:space="preserve">Wong KU, Baum CR. Acute Cannabis Toxicity. Pediatr Emerg Care. 2019 Nov;35(11):799-804. doi: 10.1097/PEC.0000000000001970. PMID: 31688799. </w:t>
      </w:r>
    </w:p>
    <w:p w:rsidR="3C7929B0" w:rsidP="39AFFE22" w:rsidRDefault="3C7929B0" w14:paraId="5EF54502" w14:textId="53AEADD2">
      <w:pPr>
        <w:pStyle w:val="Normal"/>
      </w:pPr>
      <w:r w:rsidRPr="39AFFE22" w:rsidR="3C7929B0">
        <w:rPr>
          <w:rFonts w:ascii="Aptos" w:hAnsi="Aptos" w:eastAsia="Aptos" w:cs="Aptos"/>
          <w:noProof w:val="0"/>
          <w:sz w:val="24"/>
          <w:szCs w:val="24"/>
          <w:lang w:val="en-US"/>
        </w:rPr>
        <w:t xml:space="preserve">Silverman KD, Cheslack-Postava K, Rastogi D, Borrell LN, Goodwin RD. Asthma prevalence among US 9th-12th graders who report past 30-day cannabis use in 2019. Pediatr Pulmonol. 2024 Apr;59(4):886-890. doi: 10.1002/ppul.26840. Epub 2024 Jan 19. PMID: 38240368. </w:t>
      </w:r>
    </w:p>
    <w:p w:rsidR="3C7929B0" w:rsidP="39AFFE22" w:rsidRDefault="3C7929B0" w14:paraId="789DBC91" w14:textId="4B6F9C26">
      <w:pPr>
        <w:pStyle w:val="Normal"/>
      </w:pPr>
      <w:r w:rsidRPr="39AFFE22" w:rsidR="3C7929B0">
        <w:rPr>
          <w:rFonts w:ascii="Aptos" w:hAnsi="Aptos" w:eastAsia="Aptos" w:cs="Aptos"/>
          <w:noProof w:val="0"/>
          <w:sz w:val="24"/>
          <w:szCs w:val="24"/>
          <w:lang w:val="en-US"/>
        </w:rPr>
        <w:t xml:space="preserve">Zhu H, Wu LT. Trends and Correlates of Cannabis-involved Emergency Department Visits: 2004 to 2011. J Addict Med. 2016 Nov/Dec;10(6):429-436.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10.1097/ADM.0000000000000256. PMID: 27574753; PMCID: PMC5083207. </w:t>
      </w:r>
    </w:p>
    <w:p w:rsidR="3C7929B0" w:rsidP="39AFFE22" w:rsidRDefault="3C7929B0" w14:paraId="2DD6DDD7" w14:textId="20D6B49E">
      <w:pPr>
        <w:pStyle w:val="Normal"/>
      </w:pPr>
      <w:r w:rsidRPr="39AFFE22" w:rsidR="3C7929B0">
        <w:rPr>
          <w:rFonts w:ascii="Aptos" w:hAnsi="Aptos" w:eastAsia="Aptos" w:cs="Aptos"/>
          <w:noProof w:val="0"/>
          <w:sz w:val="24"/>
          <w:szCs w:val="24"/>
          <w:lang w:val="en-US"/>
        </w:rPr>
        <w:t xml:space="preserve">Abou Khalil E, Morgan KM, Gaines BA, Spinella PC, Leeper CM. Use of whole blood in pediatric trauma: a narrative review. Trauma Surg Acute Care </w:t>
      </w:r>
      <w:r>
        <w:tab/>
      </w:r>
      <w:r w:rsidRPr="39AFFE22" w:rsidR="3C7929B0">
        <w:rPr>
          <w:rFonts w:ascii="Aptos" w:hAnsi="Aptos" w:eastAsia="Aptos" w:cs="Aptos"/>
          <w:noProof w:val="0"/>
          <w:sz w:val="24"/>
          <w:szCs w:val="24"/>
          <w:lang w:val="en-US"/>
        </w:rPr>
        <w:t>Open. 2024 Jan 5;9(Suppl 1</w:t>
      </w:r>
      <w:r w:rsidRPr="39AFFE22" w:rsidR="3C7929B0">
        <w:rPr>
          <w:rFonts w:ascii="Aptos" w:hAnsi="Aptos" w:eastAsia="Aptos" w:cs="Aptos"/>
          <w:noProof w:val="0"/>
          <w:sz w:val="24"/>
          <w:szCs w:val="24"/>
          <w:lang w:val="en-US"/>
        </w:rPr>
        <w:t>):e</w:t>
      </w:r>
      <w:r w:rsidRPr="39AFFE22" w:rsidR="3C7929B0">
        <w:rPr>
          <w:rFonts w:ascii="Aptos" w:hAnsi="Aptos" w:eastAsia="Aptos" w:cs="Aptos"/>
          <w:noProof w:val="0"/>
          <w:sz w:val="24"/>
          <w:szCs w:val="24"/>
          <w:lang w:val="en-US"/>
        </w:rPr>
        <w:t xml:space="preserve">001127.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10.1136/tsaco-2023-001127. PMID: 38196932; PMCID: PMC10773435. </w:t>
      </w:r>
    </w:p>
    <w:p w:rsidR="3C7929B0" w:rsidP="39AFFE22" w:rsidRDefault="3C7929B0" w14:paraId="7A658EF1" w14:textId="406EA9A2">
      <w:pPr>
        <w:pStyle w:val="Normal"/>
      </w:pPr>
      <w:r w:rsidRPr="39AFFE22" w:rsidR="3C7929B0">
        <w:rPr>
          <w:rFonts w:ascii="Aptos" w:hAnsi="Aptos" w:eastAsia="Aptos" w:cs="Aptos"/>
          <w:noProof w:val="0"/>
          <w:sz w:val="24"/>
          <w:szCs w:val="24"/>
          <w:lang w:val="en-US"/>
        </w:rPr>
        <w:t xml:space="preserve">Brill JB, Tang B, Hatton G, Mueck KM, McCoy CC, Kao LS, Cotton BA. Impact of Incorporating Whole Blood into Hemorrhagic Shock Resuscitation: Analysis of 1,377 Consecutive Trauma Patients Receiving Emergency-Release </w:t>
      </w:r>
      <w:r w:rsidRPr="39AFFE22" w:rsidR="3C7929B0">
        <w:rPr>
          <w:rFonts w:ascii="Aptos" w:hAnsi="Aptos" w:eastAsia="Aptos" w:cs="Aptos"/>
          <w:noProof w:val="0"/>
          <w:sz w:val="24"/>
          <w:szCs w:val="24"/>
          <w:lang w:val="en-US"/>
        </w:rPr>
        <w:t>Uncrossmatched</w:t>
      </w:r>
      <w:r w:rsidRPr="39AFFE22" w:rsidR="3C7929B0">
        <w:rPr>
          <w:rFonts w:ascii="Aptos" w:hAnsi="Aptos" w:eastAsia="Aptos" w:cs="Aptos"/>
          <w:noProof w:val="0"/>
          <w:sz w:val="24"/>
          <w:szCs w:val="24"/>
          <w:lang w:val="en-US"/>
        </w:rPr>
        <w:t xml:space="preserve"> Blood Products. J </w:t>
      </w:r>
      <w:r>
        <w:tab/>
      </w:r>
      <w:r w:rsidRPr="39AFFE22" w:rsidR="3C7929B0">
        <w:rPr>
          <w:rFonts w:ascii="Aptos" w:hAnsi="Aptos" w:eastAsia="Aptos" w:cs="Aptos"/>
          <w:noProof w:val="0"/>
          <w:sz w:val="24"/>
          <w:szCs w:val="24"/>
          <w:lang w:val="en-US"/>
        </w:rPr>
        <w:t xml:space="preserve">Am Coll Surg. 2022 Apr 1;234(4):408-418.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10.1097/XCS.0000000000000086. PMID: 35290259. </w:t>
      </w:r>
    </w:p>
    <w:p w:rsidR="3C7929B0" w:rsidP="39AFFE22" w:rsidRDefault="3C7929B0" w14:paraId="203E4AA2" w14:textId="21F89B3E">
      <w:pPr>
        <w:pStyle w:val="Normal"/>
      </w:pPr>
      <w:r w:rsidRPr="39AFFE22" w:rsidR="3C7929B0">
        <w:rPr>
          <w:rFonts w:ascii="Aptos" w:hAnsi="Aptos" w:eastAsia="Aptos" w:cs="Aptos"/>
          <w:noProof w:val="0"/>
          <w:sz w:val="24"/>
          <w:szCs w:val="24"/>
          <w:lang w:val="en-US"/>
        </w:rPr>
        <w:t xml:space="preserve">Crowe E, DeSantis SM, Bonnette A, Jansen JO, Yamal JM, Holcomb JB, Pedroza C, Harvin JA, Marques MB, </w:t>
      </w:r>
      <w:r w:rsidRPr="39AFFE22" w:rsidR="3C7929B0">
        <w:rPr>
          <w:rFonts w:ascii="Aptos" w:hAnsi="Aptos" w:eastAsia="Aptos" w:cs="Aptos"/>
          <w:noProof w:val="0"/>
          <w:sz w:val="24"/>
          <w:szCs w:val="24"/>
          <w:lang w:val="en-US"/>
        </w:rPr>
        <w:t>Avritscher</w:t>
      </w:r>
      <w:r w:rsidRPr="39AFFE22" w:rsidR="3C7929B0">
        <w:rPr>
          <w:rFonts w:ascii="Aptos" w:hAnsi="Aptos" w:eastAsia="Aptos" w:cs="Aptos"/>
          <w:noProof w:val="0"/>
          <w:sz w:val="24"/>
          <w:szCs w:val="24"/>
          <w:lang w:val="en-US"/>
        </w:rPr>
        <w:t xml:space="preserve"> EBC, Wang HE. Whole blood transfusion versus component therapy in trauma resuscitation: a systematic review and meta-analysis. J Am Coll Emerg </w:t>
      </w:r>
      <w:r>
        <w:tab/>
      </w:r>
      <w:r w:rsidRPr="39AFFE22" w:rsidR="3C7929B0">
        <w:rPr>
          <w:rFonts w:ascii="Aptos" w:hAnsi="Aptos" w:eastAsia="Aptos" w:cs="Aptos"/>
          <w:noProof w:val="0"/>
          <w:sz w:val="24"/>
          <w:szCs w:val="24"/>
          <w:lang w:val="en-US"/>
        </w:rPr>
        <w:t xml:space="preserve">Physicians Open. 2020 May 29;1(4):633-641.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10.1002/emp2.12089. PMID: 33000082; PMCID: PMC7493478. </w:t>
      </w:r>
    </w:p>
    <w:p w:rsidR="3C7929B0" w:rsidP="39AFFE22" w:rsidRDefault="3C7929B0" w14:paraId="05463C46" w14:textId="6A86C657">
      <w:pPr>
        <w:pStyle w:val="Normal"/>
      </w:pPr>
      <w:r w:rsidRPr="39AFFE22" w:rsidR="3C7929B0">
        <w:rPr>
          <w:rFonts w:ascii="Aptos" w:hAnsi="Aptos" w:eastAsia="Aptos" w:cs="Aptos"/>
          <w:noProof w:val="0"/>
          <w:sz w:val="24"/>
          <w:szCs w:val="24"/>
          <w:lang w:val="en-US"/>
        </w:rPr>
        <w:t xml:space="preserve">Gaines BA, </w:t>
      </w:r>
      <w:r w:rsidRPr="39AFFE22" w:rsidR="3C7929B0">
        <w:rPr>
          <w:rFonts w:ascii="Aptos" w:hAnsi="Aptos" w:eastAsia="Aptos" w:cs="Aptos"/>
          <w:noProof w:val="0"/>
          <w:sz w:val="24"/>
          <w:szCs w:val="24"/>
          <w:lang w:val="en-US"/>
        </w:rPr>
        <w:t>Yazer</w:t>
      </w:r>
      <w:r w:rsidRPr="39AFFE22" w:rsidR="3C7929B0">
        <w:rPr>
          <w:rFonts w:ascii="Aptos" w:hAnsi="Aptos" w:eastAsia="Aptos" w:cs="Aptos"/>
          <w:noProof w:val="0"/>
          <w:sz w:val="24"/>
          <w:szCs w:val="24"/>
          <w:lang w:val="en-US"/>
        </w:rPr>
        <w:t xml:space="preserve"> MH, </w:t>
      </w:r>
      <w:r w:rsidRPr="39AFFE22" w:rsidR="3C7929B0">
        <w:rPr>
          <w:rFonts w:ascii="Aptos" w:hAnsi="Aptos" w:eastAsia="Aptos" w:cs="Aptos"/>
          <w:noProof w:val="0"/>
          <w:sz w:val="24"/>
          <w:szCs w:val="24"/>
          <w:lang w:val="en-US"/>
        </w:rPr>
        <w:t>Triulzi</w:t>
      </w:r>
      <w:r w:rsidRPr="39AFFE22" w:rsidR="3C7929B0">
        <w:rPr>
          <w:rFonts w:ascii="Aptos" w:hAnsi="Aptos" w:eastAsia="Aptos" w:cs="Aptos"/>
          <w:noProof w:val="0"/>
          <w:sz w:val="24"/>
          <w:szCs w:val="24"/>
          <w:lang w:val="en-US"/>
        </w:rPr>
        <w:t xml:space="preserve"> DJ, Sperry JL, Neal MD, Billiar TR, Leeper CM. Low Titer Group O Whole Blood </w:t>
      </w:r>
      <w:r w:rsidRPr="39AFFE22" w:rsidR="3C7929B0">
        <w:rPr>
          <w:rFonts w:ascii="Aptos" w:hAnsi="Aptos" w:eastAsia="Aptos" w:cs="Aptos"/>
          <w:noProof w:val="0"/>
          <w:sz w:val="24"/>
          <w:szCs w:val="24"/>
          <w:lang w:val="en-US"/>
        </w:rPr>
        <w:t>In</w:t>
      </w:r>
      <w:r w:rsidRPr="39AFFE22" w:rsidR="3C7929B0">
        <w:rPr>
          <w:rFonts w:ascii="Aptos" w:hAnsi="Aptos" w:eastAsia="Aptos" w:cs="Aptos"/>
          <w:noProof w:val="0"/>
          <w:sz w:val="24"/>
          <w:szCs w:val="24"/>
          <w:lang w:val="en-US"/>
        </w:rPr>
        <w:t xml:space="preserve"> Injured Children Requiring Massive Transfusion. Ann Surg. 2023 Apr 1;277(4</w:t>
      </w:r>
      <w:r w:rsidRPr="39AFFE22" w:rsidR="3C7929B0">
        <w:rPr>
          <w:rFonts w:ascii="Aptos" w:hAnsi="Aptos" w:eastAsia="Aptos" w:cs="Aptos"/>
          <w:noProof w:val="0"/>
          <w:sz w:val="24"/>
          <w:szCs w:val="24"/>
          <w:lang w:val="en-US"/>
        </w:rPr>
        <w:t>):e</w:t>
      </w:r>
      <w:r w:rsidRPr="39AFFE22" w:rsidR="3C7929B0">
        <w:rPr>
          <w:rFonts w:ascii="Aptos" w:hAnsi="Aptos" w:eastAsia="Aptos" w:cs="Aptos"/>
          <w:noProof w:val="0"/>
          <w:sz w:val="24"/>
          <w:szCs w:val="24"/>
          <w:lang w:val="en-US"/>
        </w:rPr>
        <w:t xml:space="preserve">919-e924.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10.1097/SLA.0000000000005251. </w:t>
      </w:r>
      <w:r w:rsidRPr="39AFFE22" w:rsidR="3C7929B0">
        <w:rPr>
          <w:rFonts w:ascii="Aptos" w:hAnsi="Aptos" w:eastAsia="Aptos" w:cs="Aptos"/>
          <w:noProof w:val="0"/>
          <w:sz w:val="24"/>
          <w:szCs w:val="24"/>
          <w:lang w:val="en-US"/>
        </w:rPr>
        <w:t>Epub</w:t>
      </w:r>
      <w:r w:rsidRPr="39AFFE22" w:rsidR="3C7929B0">
        <w:rPr>
          <w:rFonts w:ascii="Aptos" w:hAnsi="Aptos" w:eastAsia="Aptos" w:cs="Aptos"/>
          <w:noProof w:val="0"/>
          <w:sz w:val="24"/>
          <w:szCs w:val="24"/>
          <w:lang w:val="en-US"/>
        </w:rPr>
        <w:t xml:space="preserve"> 2021 Oct 8. PMID: 35129530. </w:t>
      </w:r>
    </w:p>
    <w:p w:rsidR="3C7929B0" w:rsidP="39AFFE22" w:rsidRDefault="3C7929B0" w14:paraId="1F98F21C" w14:textId="1951CEDD">
      <w:pPr>
        <w:pStyle w:val="Normal"/>
      </w:pPr>
      <w:r w:rsidRPr="39AFFE22" w:rsidR="3C7929B0">
        <w:rPr>
          <w:rFonts w:ascii="Aptos" w:hAnsi="Aptos" w:eastAsia="Aptos" w:cs="Aptos"/>
          <w:noProof w:val="0"/>
          <w:sz w:val="24"/>
          <w:szCs w:val="24"/>
          <w:lang w:val="en-US"/>
        </w:rPr>
        <w:t xml:space="preserve">van der Horst RA, Rijnhout TWH, Noorman F, Borger van der Burg BLS, van </w:t>
      </w:r>
      <w:r w:rsidRPr="39AFFE22" w:rsidR="3C7929B0">
        <w:rPr>
          <w:rFonts w:ascii="Aptos" w:hAnsi="Aptos" w:eastAsia="Aptos" w:cs="Aptos"/>
          <w:noProof w:val="0"/>
          <w:sz w:val="24"/>
          <w:szCs w:val="24"/>
          <w:lang w:val="en-US"/>
        </w:rPr>
        <w:t>Waes</w:t>
      </w:r>
      <w:r w:rsidRPr="39AFFE22" w:rsidR="3C7929B0">
        <w:rPr>
          <w:rFonts w:ascii="Aptos" w:hAnsi="Aptos" w:eastAsia="Aptos" w:cs="Aptos"/>
          <w:noProof w:val="0"/>
          <w:sz w:val="24"/>
          <w:szCs w:val="24"/>
          <w:lang w:val="en-US"/>
        </w:rPr>
        <w:t xml:space="preserve"> OJF, </w:t>
      </w:r>
      <w:r w:rsidRPr="39AFFE22" w:rsidR="3C7929B0">
        <w:rPr>
          <w:rFonts w:ascii="Aptos" w:hAnsi="Aptos" w:eastAsia="Aptos" w:cs="Aptos"/>
          <w:noProof w:val="0"/>
          <w:sz w:val="24"/>
          <w:szCs w:val="24"/>
          <w:lang w:val="en-US"/>
        </w:rPr>
        <w:t>Verhofstad</w:t>
      </w:r>
      <w:r w:rsidRPr="39AFFE22" w:rsidR="3C7929B0">
        <w:rPr>
          <w:rFonts w:ascii="Aptos" w:hAnsi="Aptos" w:eastAsia="Aptos" w:cs="Aptos"/>
          <w:noProof w:val="0"/>
          <w:sz w:val="24"/>
          <w:szCs w:val="24"/>
          <w:lang w:val="en-US"/>
        </w:rPr>
        <w:t xml:space="preserve"> MHJ, Hoencamp R. Whole blood transfusion in the </w:t>
      </w:r>
      <w:r>
        <w:tab/>
      </w:r>
      <w:r w:rsidRPr="39AFFE22" w:rsidR="3C7929B0">
        <w:rPr>
          <w:rFonts w:ascii="Aptos" w:hAnsi="Aptos" w:eastAsia="Aptos" w:cs="Aptos"/>
          <w:noProof w:val="0"/>
          <w:sz w:val="24"/>
          <w:szCs w:val="24"/>
          <w:lang w:val="en-US"/>
        </w:rPr>
        <w:t xml:space="preserve">treatment of acute hemorrhage, a systematic review and meta-analysis. J Trauma Acute Care Surg. 2023 Aug 1;95(2):256-266.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10.1097/TA.0000000000004000. </w:t>
      </w:r>
      <w:r w:rsidRPr="39AFFE22" w:rsidR="3C7929B0">
        <w:rPr>
          <w:rFonts w:ascii="Aptos" w:hAnsi="Aptos" w:eastAsia="Aptos" w:cs="Aptos"/>
          <w:noProof w:val="0"/>
          <w:sz w:val="24"/>
          <w:szCs w:val="24"/>
          <w:lang w:val="en-US"/>
        </w:rPr>
        <w:t>Epub</w:t>
      </w:r>
      <w:r w:rsidRPr="39AFFE22" w:rsidR="3C7929B0">
        <w:rPr>
          <w:rFonts w:ascii="Aptos" w:hAnsi="Aptos" w:eastAsia="Aptos" w:cs="Aptos"/>
          <w:noProof w:val="0"/>
          <w:sz w:val="24"/>
          <w:szCs w:val="24"/>
          <w:lang w:val="en-US"/>
        </w:rPr>
        <w:t xml:space="preserve"> 2023 May 1. PMID: 37125904. </w:t>
      </w:r>
    </w:p>
    <w:p w:rsidR="3C7929B0" w:rsidP="39AFFE22" w:rsidRDefault="3C7929B0" w14:paraId="4C79FBD6" w14:textId="2086690A">
      <w:pPr>
        <w:pStyle w:val="Normal"/>
      </w:pPr>
      <w:r w:rsidRPr="39AFFE22" w:rsidR="3C7929B0">
        <w:rPr>
          <w:rFonts w:ascii="Aptos" w:hAnsi="Aptos" w:eastAsia="Aptos" w:cs="Aptos"/>
          <w:noProof w:val="0"/>
          <w:sz w:val="24"/>
          <w:szCs w:val="24"/>
          <w:lang w:val="en-US"/>
        </w:rPr>
        <w:t xml:space="preserve">Mayo Foundation for Medical Education and Research. (2016, October 11). The case for whole-blood transfusions in massive hemorrhage. </w:t>
      </w:r>
      <w:r>
        <w:tab/>
      </w:r>
      <w:r w:rsidRPr="39AFFE22" w:rsidR="3C7929B0">
        <w:rPr>
          <w:rFonts w:ascii="Aptos" w:hAnsi="Aptos" w:eastAsia="Aptos" w:cs="Aptos"/>
          <w:noProof w:val="0"/>
          <w:sz w:val="24"/>
          <w:szCs w:val="24"/>
          <w:lang w:val="en-US"/>
        </w:rPr>
        <w:t>Mayo Clinic. https://www.mayoclinic.org/medical-professionals/trauma/news/the-case-for-whole-blood-transfusions-in-</w:t>
      </w:r>
      <w:r>
        <w:tab/>
      </w:r>
      <w:r w:rsidRPr="39AFFE22" w:rsidR="3C7929B0">
        <w:rPr>
          <w:rFonts w:ascii="Aptos" w:hAnsi="Aptos" w:eastAsia="Aptos" w:cs="Aptos"/>
          <w:noProof w:val="0"/>
          <w:sz w:val="24"/>
          <w:szCs w:val="24"/>
          <w:lang w:val="en-US"/>
        </w:rPr>
        <w:t>massive-</w:t>
      </w:r>
      <w:r>
        <w:tab/>
      </w:r>
      <w:r w:rsidRPr="39AFFE22" w:rsidR="3C7929B0">
        <w:rPr>
          <w:rFonts w:ascii="Aptos" w:hAnsi="Aptos" w:eastAsia="Aptos" w:cs="Aptos"/>
          <w:noProof w:val="0"/>
          <w:sz w:val="24"/>
          <w:szCs w:val="24"/>
          <w:lang w:val="en-US"/>
        </w:rPr>
        <w:t xml:space="preserve">hemorrhage/mac-20431234  </w:t>
      </w:r>
    </w:p>
    <w:p w:rsidR="3C7929B0" w:rsidP="39AFFE22" w:rsidRDefault="3C7929B0" w14:paraId="31B4EF92" w14:textId="4E07C059">
      <w:pPr>
        <w:pStyle w:val="Normal"/>
      </w:pPr>
      <w:r w:rsidRPr="39AFFE22" w:rsidR="3C7929B0">
        <w:rPr>
          <w:rFonts w:ascii="Aptos" w:hAnsi="Aptos" w:eastAsia="Aptos" w:cs="Aptos"/>
          <w:noProof w:val="0"/>
          <w:sz w:val="24"/>
          <w:szCs w:val="24"/>
          <w:lang w:val="en-US"/>
        </w:rPr>
        <w:t xml:space="preserve">Murdock AD, Berséus O, Hervig T, Strandenes G, Lunde TH. Whole blood: the future of traumatic hemorrhagic shock resuscitation. Shock. 2014 </w:t>
      </w:r>
      <w:r>
        <w:tab/>
      </w:r>
      <w:r w:rsidRPr="39AFFE22" w:rsidR="3C7929B0">
        <w:rPr>
          <w:rFonts w:ascii="Aptos" w:hAnsi="Aptos" w:eastAsia="Aptos" w:cs="Aptos"/>
          <w:noProof w:val="0"/>
          <w:sz w:val="24"/>
          <w:szCs w:val="24"/>
          <w:lang w:val="en-US"/>
        </w:rPr>
        <w:t xml:space="preserve">May;41 Suppl 1:62-9. doi: 10.1097/SHK.0000000000000134. PMID: 24662782. </w:t>
      </w:r>
    </w:p>
    <w:p w:rsidR="3C7929B0" w:rsidP="39AFFE22" w:rsidRDefault="3C7929B0" w14:paraId="322323EB" w14:textId="223812FF">
      <w:pPr>
        <w:pStyle w:val="Normal"/>
      </w:pPr>
      <w:r w:rsidRPr="39AFFE22" w:rsidR="3C7929B0">
        <w:rPr>
          <w:rFonts w:ascii="Aptos" w:hAnsi="Aptos" w:eastAsia="Aptos" w:cs="Aptos"/>
          <w:noProof w:val="0"/>
          <w:sz w:val="24"/>
          <w:szCs w:val="24"/>
          <w:lang w:val="en-US"/>
        </w:rPr>
        <w:t>Illustrations AI generated using Designer by Microsoft</w:t>
      </w:r>
    </w:p>
    <w:p w:rsidR="3C7929B0" w:rsidP="39AFFE22" w:rsidRDefault="3C7929B0" w14:paraId="3F9C4E1F" w14:textId="1192FEEA">
      <w:pPr>
        <w:pStyle w:val="Normal"/>
        <w:rPr>
          <w:rFonts w:ascii="Aptos" w:hAnsi="Aptos" w:eastAsia="Aptos" w:cs="Aptos"/>
          <w:noProof w:val="0"/>
          <w:sz w:val="24"/>
          <w:szCs w:val="24"/>
          <w:lang w:val="en-US"/>
        </w:rPr>
      </w:pPr>
      <w:r w:rsidRPr="39AFFE22" w:rsidR="3C7929B0">
        <w:rPr>
          <w:rFonts w:ascii="Aptos" w:hAnsi="Aptos" w:eastAsia="Aptos" w:cs="Aptos"/>
          <w:noProof w:val="0"/>
          <w:sz w:val="24"/>
          <w:szCs w:val="24"/>
          <w:lang w:val="en-US"/>
        </w:rPr>
        <w:t xml:space="preserve">Deymann AJ, Goertz KK. Myocardial infarction and transient ventricular dysfunction in an adolescent with sickle cell disease. Pediatrics. 2003;111(2):E183-E187. doi:10.1542/peds.111.2.e183 </w:t>
      </w:r>
    </w:p>
    <w:p w:rsidR="3C7929B0" w:rsidP="39AFFE22" w:rsidRDefault="3C7929B0" w14:paraId="06465A3C" w14:textId="6434DC93">
      <w:pPr>
        <w:pStyle w:val="Normal"/>
      </w:pPr>
      <w:r w:rsidRPr="39AFFE22" w:rsidR="3C7929B0">
        <w:rPr>
          <w:rFonts w:ascii="Aptos" w:hAnsi="Aptos" w:eastAsia="Aptos" w:cs="Aptos"/>
          <w:noProof w:val="0"/>
          <w:sz w:val="24"/>
          <w:szCs w:val="24"/>
          <w:lang w:val="en-US"/>
        </w:rPr>
        <w:t xml:space="preserve">Taherifard E, Movahed H, Taherifard E, et al. Electrocardiographic abnormalities in patients with sickle cell disease: A systematic review and meta-analysis. Pediatr Blood Cancer. 2024;71(5):e30916. doi:10.1002/pbc.30916 </w:t>
      </w:r>
    </w:p>
    <w:p w:rsidR="3C7929B0" w:rsidP="39AFFE22" w:rsidRDefault="3C7929B0" w14:paraId="567B79F8" w14:textId="797F9116">
      <w:pPr>
        <w:pStyle w:val="Normal"/>
      </w:pPr>
      <w:r w:rsidRPr="39AFFE22" w:rsidR="3C7929B0">
        <w:rPr>
          <w:rFonts w:ascii="Aptos" w:hAnsi="Aptos" w:eastAsia="Aptos" w:cs="Aptos"/>
          <w:noProof w:val="0"/>
          <w:sz w:val="24"/>
          <w:szCs w:val="24"/>
          <w:lang w:val="en-US"/>
        </w:rPr>
        <w:t xml:space="preserve">Burns, Joseph &amp; Smerling, Jonathan &amp; Haimed, Abraham &amp; Ganigara, Madhusudan &amp; Appiah-Kubi, Abena &amp; Aygun, Banu &amp; Mitchell, Elizabeth &amp; Dhar, Arushi. (2022). Cardiac complications of Sickle Cell Disease in pediatric patients: A case report and contemporary literature review. Progress in Pediatric Cardiology. 66. 101517. 10.1016/j.ppedcard.2022.101517.  </w:t>
      </w:r>
    </w:p>
    <w:p w:rsidR="3C7929B0" w:rsidP="39AFFE22" w:rsidRDefault="3C7929B0" w14:paraId="061C7C6A" w14:textId="7F5AFF42">
      <w:pPr>
        <w:pStyle w:val="Normal"/>
      </w:pPr>
      <w:r w:rsidRPr="39AFFE22" w:rsidR="3C7929B0">
        <w:rPr>
          <w:rFonts w:ascii="Aptos" w:hAnsi="Aptos" w:eastAsia="Aptos" w:cs="Aptos"/>
          <w:noProof w:val="0"/>
          <w:sz w:val="24"/>
          <w:szCs w:val="24"/>
          <w:lang w:val="en-US"/>
        </w:rPr>
        <w:t xml:space="preserve">Tonino SH, Nur E, Otten HM, Wykrzykowska JJ, Hoekstra JB, Biemond BJ. Chest pain in sickle cell disease. Neth J Med. 2013;71(5):265-269. </w:t>
      </w:r>
    </w:p>
    <w:p w:rsidR="3C7929B0" w:rsidP="39AFFE22" w:rsidRDefault="3C7929B0" w14:paraId="0F157D66" w14:textId="7766D7F4">
      <w:pPr>
        <w:pStyle w:val="Normal"/>
      </w:pPr>
      <w:r w:rsidRPr="39AFFE22" w:rsidR="3C7929B0">
        <w:rPr>
          <w:rFonts w:ascii="Aptos" w:hAnsi="Aptos" w:eastAsia="Aptos" w:cs="Aptos"/>
          <w:noProof w:val="0"/>
          <w:sz w:val="24"/>
          <w:szCs w:val="24"/>
          <w:lang w:val="en-US"/>
        </w:rPr>
        <w:t xml:space="preserve">Pannu R, Zhang J, Andraws R, Armani A, Patel P, Mancusi-Ungaro P. Acute myocardial infarction in sickle cell disease: a systematic review. Crit Pathw Cardiol. 2008;7(2):133-138. doi:10.1097/HPC.0b013e3181668ac3 </w:t>
      </w:r>
    </w:p>
    <w:p w:rsidR="3C7929B0" w:rsidP="39AFFE22" w:rsidRDefault="3C7929B0" w14:paraId="40BF066B" w14:textId="05A04B59">
      <w:pPr>
        <w:pStyle w:val="Normal"/>
      </w:pPr>
      <w:r w:rsidRPr="39AFFE22" w:rsidR="3C7929B0">
        <w:rPr>
          <w:rFonts w:ascii="Aptos" w:hAnsi="Aptos" w:eastAsia="Aptos" w:cs="Aptos"/>
          <w:noProof w:val="0"/>
          <w:sz w:val="24"/>
          <w:szCs w:val="24"/>
          <w:lang w:val="en-US"/>
        </w:rPr>
        <w:t xml:space="preserve">Sherman SC, Sulé HP. Acute myocardial infarction in a young man with sickle cell disease. J Emerg Med. 2004;27(1):31-35. doi:10.1016/j.jemermed.2004.02.007 </w:t>
      </w:r>
    </w:p>
    <w:p w:rsidR="3C7929B0" w:rsidP="39AFFE22" w:rsidRDefault="3C7929B0" w14:paraId="1A148A31" w14:textId="0A627B0D">
      <w:pPr>
        <w:pStyle w:val="Normal"/>
      </w:pPr>
      <w:r w:rsidRPr="39AFFE22" w:rsidR="3C7929B0">
        <w:rPr>
          <w:rFonts w:ascii="Aptos" w:hAnsi="Aptos" w:eastAsia="Aptos" w:cs="Aptos"/>
          <w:noProof w:val="0"/>
          <w:sz w:val="24"/>
          <w:szCs w:val="24"/>
          <w:lang w:val="en-US"/>
        </w:rPr>
        <w:t xml:space="preserve">Sachdev V, Rosing DR, Thein SL. Cardiovascular complications of sickle cell disease. Trends Cardiovasc Med. 2021;31(3):187-193. doi:10.1016/j.tcm.2020.02.002 </w:t>
      </w:r>
    </w:p>
    <w:p w:rsidR="3C7929B0" w:rsidP="39AFFE22" w:rsidRDefault="3C7929B0" w14:paraId="215780A6" w14:textId="4E5F9744">
      <w:pPr>
        <w:pStyle w:val="Normal"/>
      </w:pPr>
      <w:r w:rsidRPr="39AFFE22" w:rsidR="3C7929B0">
        <w:rPr>
          <w:rFonts w:ascii="Aptos" w:hAnsi="Aptos" w:eastAsia="Aptos" w:cs="Aptos"/>
          <w:noProof w:val="0"/>
          <w:sz w:val="24"/>
          <w:szCs w:val="24"/>
          <w:lang w:val="en-US"/>
        </w:rPr>
        <w:t xml:space="preserve">Mueller BU, Martin KJ, Dreyer W, Bezold LI, Mahoney DH. Prolonged QT interval in pediatric sickle cell disease. Pediatr Blood Cancer. 2006;47(6):831-833. doi:10.1002/pbc.20539 </w:t>
      </w:r>
    </w:p>
    <w:p w:rsidR="3C7929B0" w:rsidP="39AFFE22" w:rsidRDefault="3C7929B0" w14:paraId="0F33D117" w14:textId="08A5C377">
      <w:pPr>
        <w:pStyle w:val="Normal"/>
      </w:pPr>
      <w:r w:rsidRPr="39AFFE22" w:rsidR="3C7929B0">
        <w:rPr>
          <w:rFonts w:ascii="Aptos" w:hAnsi="Aptos" w:eastAsia="Aptos" w:cs="Aptos"/>
          <w:noProof w:val="0"/>
          <w:sz w:val="24"/>
          <w:szCs w:val="24"/>
          <w:lang w:val="en-US"/>
        </w:rPr>
        <w:t xml:space="preserve">Liem RI, Young LT, Thompson AA. Prolonged QTc interval in children and young adults with sickle cell disease at steady state. Pediatr Blood Cancer. 2009;52(7):842-846. doi:10.1002/pbc.21973 </w:t>
      </w:r>
    </w:p>
    <w:p w:rsidR="3C7929B0" w:rsidP="39AFFE22" w:rsidRDefault="3C7929B0" w14:paraId="36C18829" w14:textId="2EA70172">
      <w:pPr>
        <w:pStyle w:val="Normal"/>
      </w:pPr>
      <w:r w:rsidRPr="39AFFE22" w:rsidR="3C7929B0">
        <w:rPr>
          <w:rFonts w:ascii="Aptos" w:hAnsi="Aptos" w:eastAsia="Aptos" w:cs="Aptos"/>
          <w:noProof w:val="0"/>
          <w:sz w:val="24"/>
          <w:szCs w:val="24"/>
          <w:lang w:val="en-US"/>
        </w:rPr>
        <w:t>Arushi Dhar, Tung Ming Leung, Abena Appiah-Kubi, Dorota Gruber, Banu Aygun, Olivia Serigano, Elizabeth Mitchell; Longitudinal analysis of cardiac abnormalities in pediatric patients with sickle cell anemia and effect of hydroxyurea therapy. Blood Adv 2021; 5 (21): 4406–4412. doi: https://doi.org/10.1182/bloodadvances.2021005076</w:t>
      </w:r>
    </w:p>
    <w:p w:rsidR="3C7929B0" w:rsidP="39AFFE22" w:rsidRDefault="3C7929B0" w14:paraId="1404DF3B" w14:textId="7B6AA389">
      <w:pPr>
        <w:pStyle w:val="Normal"/>
        <w:rPr>
          <w:rFonts w:ascii="Aptos" w:hAnsi="Aptos" w:eastAsia="Aptos" w:cs="Aptos"/>
          <w:noProof w:val="0"/>
          <w:sz w:val="24"/>
          <w:szCs w:val="24"/>
          <w:lang w:val="en-US"/>
        </w:rPr>
      </w:pPr>
      <w:r w:rsidRPr="39AFFE22" w:rsidR="3C7929B0">
        <w:rPr>
          <w:rFonts w:ascii="Aptos" w:hAnsi="Aptos" w:eastAsia="Aptos" w:cs="Aptos"/>
          <w:noProof w:val="0"/>
          <w:sz w:val="24"/>
          <w:szCs w:val="24"/>
          <w:lang w:val="en-US"/>
        </w:rPr>
        <w:t xml:space="preserve">Blackstock U, Munson J, Szyld D. Bedside ultrasound curriculum for medical students: report of a blended learning curriculum implementation and validation. J Clin Ultrasound. 2015 Mar;43(3):139-44. doi: 10.1002/jcu.22224. Epub 2014 Aug 14. PMID: 25123564. </w:t>
      </w:r>
    </w:p>
    <w:p w:rsidR="3C7929B0" w:rsidP="39AFFE22" w:rsidRDefault="3C7929B0" w14:paraId="7A249776" w14:textId="0F32D757">
      <w:pPr>
        <w:pStyle w:val="Normal"/>
      </w:pPr>
      <w:r w:rsidRPr="39AFFE22" w:rsidR="3C7929B0">
        <w:rPr>
          <w:rFonts w:ascii="Aptos" w:hAnsi="Aptos" w:eastAsia="Aptos" w:cs="Aptos"/>
          <w:noProof w:val="0"/>
          <w:sz w:val="24"/>
          <w:szCs w:val="24"/>
          <w:lang w:val="en-US"/>
        </w:rPr>
        <w:t xml:space="preserve">Shah VP, Tunik MG, Tsung JW. Prospective Evaluation of Point-of-Care Ultrasonography for the Diagnosis of Pneumonia in Children and Young Adults. JAMA Pediatr. 2013;167(2):119–125. doi:10.1001/2013.jamapediatrics.107 </w:t>
      </w:r>
    </w:p>
    <w:p w:rsidR="3C7929B0" w:rsidP="39AFFE22" w:rsidRDefault="3C7929B0" w14:paraId="19941666" w14:textId="48C387C8">
      <w:pPr>
        <w:pStyle w:val="Normal"/>
      </w:pPr>
      <w:r w:rsidRPr="39AFFE22" w:rsidR="3C7929B0">
        <w:rPr>
          <w:rFonts w:ascii="Aptos" w:hAnsi="Aptos" w:eastAsia="Aptos" w:cs="Aptos"/>
          <w:noProof w:val="0"/>
          <w:sz w:val="24"/>
          <w:szCs w:val="24"/>
          <w:lang w:val="en-US"/>
        </w:rPr>
        <w:t xml:space="preserve">Jones BP, Tay ET, Elikashvili I, Sanders JE, Paul AZ, Nelson BP, Spina LA, Tsung JW. Feasibility and Safety of Substituting Lung Ultrasonography for Chest Radiography When Diagnosing Pneumonia in Children: A Randomized Controlled Trial. Chest. 2016 Jul;150(1):131-8. doi: 10.1016/j.chest.2016.02.643. Epub 2016 Feb 26. PMID: 26923626. </w:t>
      </w:r>
    </w:p>
    <w:p w:rsidR="3C7929B0" w:rsidP="39AFFE22" w:rsidRDefault="3C7929B0" w14:paraId="2B0D40B5" w14:textId="07F51814">
      <w:pPr>
        <w:pStyle w:val="Normal"/>
      </w:pPr>
      <w:r w:rsidRPr="39AFFE22" w:rsidR="3C7929B0">
        <w:rPr>
          <w:rFonts w:ascii="Aptos" w:hAnsi="Aptos" w:eastAsia="Aptos" w:cs="Aptos"/>
          <w:noProof w:val="0"/>
          <w:sz w:val="24"/>
          <w:szCs w:val="24"/>
          <w:lang w:val="en-US"/>
        </w:rPr>
        <w:t xml:space="preserve">Malla D, Rathi V, Gomber S, Upreti L. Can lung ultrasound differentiate between bacterial and viral pneumonia in children? J Clin Ultrasound. 2021 Feb;49(2):91-100.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10.1002/jcu.22951. </w:t>
      </w:r>
      <w:r w:rsidRPr="39AFFE22" w:rsidR="3C7929B0">
        <w:rPr>
          <w:rFonts w:ascii="Aptos" w:hAnsi="Aptos" w:eastAsia="Aptos" w:cs="Aptos"/>
          <w:noProof w:val="0"/>
          <w:sz w:val="24"/>
          <w:szCs w:val="24"/>
          <w:lang w:val="en-US"/>
        </w:rPr>
        <w:t>Epub</w:t>
      </w:r>
      <w:r w:rsidRPr="39AFFE22" w:rsidR="3C7929B0">
        <w:rPr>
          <w:rFonts w:ascii="Aptos" w:hAnsi="Aptos" w:eastAsia="Aptos" w:cs="Aptos"/>
          <w:noProof w:val="0"/>
          <w:sz w:val="24"/>
          <w:szCs w:val="24"/>
          <w:lang w:val="en-US"/>
        </w:rPr>
        <w:t xml:space="preserve"> 2020 Nov 16. PMID: 33196108. </w:t>
      </w:r>
    </w:p>
    <w:p w:rsidR="3C7929B0" w:rsidP="39AFFE22" w:rsidRDefault="3C7929B0" w14:paraId="757CE7FD" w14:textId="25453AC1">
      <w:pPr>
        <w:pStyle w:val="Normal"/>
      </w:pPr>
      <w:r>
        <w:br/>
      </w:r>
      <w:r w:rsidRPr="39AFFE22" w:rsidR="3C7929B0">
        <w:rPr>
          <w:rFonts w:ascii="Aptos" w:hAnsi="Aptos" w:eastAsia="Aptos" w:cs="Aptos"/>
          <w:noProof w:val="0"/>
          <w:sz w:val="24"/>
          <w:szCs w:val="24"/>
          <w:lang w:val="en-US"/>
        </w:rPr>
        <w:t xml:space="preserve">Tsung JW, Kessler DO, Shah VP. Prospective application of clinician-performed lung ultrasonography during the 2009 H1N1 influenza A pandemic: distinguishing viral from bacterial pneumonia. Crit Ultrasound J. 2012 Jul 10;4(1):16. </w:t>
      </w:r>
      <w:r w:rsidRPr="39AFFE22" w:rsidR="3C7929B0">
        <w:rPr>
          <w:rFonts w:ascii="Aptos" w:hAnsi="Aptos" w:eastAsia="Aptos" w:cs="Aptos"/>
          <w:noProof w:val="0"/>
          <w:sz w:val="24"/>
          <w:szCs w:val="24"/>
          <w:lang w:val="en-US"/>
        </w:rPr>
        <w:t>doi</w:t>
      </w:r>
      <w:r w:rsidRPr="39AFFE22" w:rsidR="3C7929B0">
        <w:rPr>
          <w:rFonts w:ascii="Aptos" w:hAnsi="Aptos" w:eastAsia="Aptos" w:cs="Aptos"/>
          <w:noProof w:val="0"/>
          <w:sz w:val="24"/>
          <w:szCs w:val="24"/>
          <w:lang w:val="en-US"/>
        </w:rPr>
        <w:t xml:space="preserve">: 10.1186/2036-7902-4-16. PMID: 22862998; PMCID: PMC3439382. </w:t>
      </w:r>
    </w:p>
    <w:p w:rsidR="3C7929B0" w:rsidP="39AFFE22" w:rsidRDefault="3C7929B0" w14:paraId="7D6A2943" w14:textId="31A8D951">
      <w:pPr>
        <w:pStyle w:val="Normal"/>
      </w:pPr>
      <w:r w:rsidRPr="39AFFE22" w:rsidR="3C7929B0">
        <w:rPr>
          <w:rFonts w:ascii="Aptos" w:hAnsi="Aptos" w:eastAsia="Aptos" w:cs="Aptos"/>
          <w:noProof w:val="0"/>
          <w:sz w:val="24"/>
          <w:szCs w:val="24"/>
          <w:lang w:val="en-US"/>
        </w:rPr>
        <w:t xml:space="preserve">Ayalon I, Glatstein MM, Zaidenberg-Israeli G, Scolnik D, Ben Tov A, Ben Sira L, Reif S. The role of physical examination in establishing the diagnosis of pneumonia. Pediatr Emerg Care. 2013 Aug;29(8):893-6. doi: 10.1097/PEC.0b013e31829e7d6a. PMID: 23903669. </w:t>
      </w:r>
    </w:p>
    <w:p w:rsidR="3C7929B0" w:rsidP="39AFFE22" w:rsidRDefault="3C7929B0" w14:paraId="386367F6" w14:textId="5325A6CC">
      <w:pPr>
        <w:pStyle w:val="Normal"/>
      </w:pPr>
      <w:r w:rsidRPr="39AFFE22" w:rsidR="3C7929B0">
        <w:rPr>
          <w:rFonts w:ascii="Aptos" w:hAnsi="Aptos" w:eastAsia="Aptos" w:cs="Aptos"/>
          <w:noProof w:val="0"/>
          <w:sz w:val="24"/>
          <w:szCs w:val="24"/>
          <w:lang w:val="en-US"/>
        </w:rPr>
        <w:t xml:space="preserve">Wordl health organization  </w:t>
      </w:r>
    </w:p>
    <w:p w:rsidR="3C7929B0" w:rsidP="39AFFE22" w:rsidRDefault="3C7929B0" w14:paraId="7C174DCE" w14:textId="6EAE2807">
      <w:pPr>
        <w:pStyle w:val="Normal"/>
      </w:pPr>
      <w:r w:rsidRPr="39AFFE22" w:rsidR="3C7929B0">
        <w:rPr>
          <w:rFonts w:ascii="Aptos" w:hAnsi="Aptos" w:eastAsia="Aptos" w:cs="Aptos"/>
          <w:noProof w:val="0"/>
          <w:sz w:val="24"/>
          <w:szCs w:val="24"/>
          <w:lang w:val="en-US"/>
        </w:rPr>
        <w:t>Bradley JS, Byington CL, Shah SS, Alverson B, Carter ER, Harrison C, Kaplan SL, Mace SE, McCracken GH Jr, Moore MR, St Peter SD, Stockwell JA, Swanson JT; Pediatric Infectious Diseases Society and the Infectious Diseases Society of America. The management of community-acquired pneumonia in infants and children older than 3 months of age: clinical practice guidelines by the Pediatric Infectious Diseases Society and the Infectious Diseases Society of America. Clin Infect Dis. 2011 Oct;53(7):e25-76. doi: 10.1093/cid/cir531. Epub 2011 Aug 31. PMID: 21880587; PMCID: PMC7107838.</w:t>
      </w:r>
    </w:p>
    <w:p w:rsidR="3C7929B0" w:rsidP="39AFFE22" w:rsidRDefault="3C7929B0" w14:paraId="3B5BC235" w14:textId="449E4867">
      <w:pPr>
        <w:pStyle w:val="Normal"/>
        <w:rPr>
          <w:rFonts w:ascii="Aptos" w:hAnsi="Aptos" w:eastAsia="Aptos" w:cs="Aptos"/>
          <w:noProof w:val="0"/>
          <w:sz w:val="24"/>
          <w:szCs w:val="24"/>
          <w:lang w:val="en-US"/>
        </w:rPr>
      </w:pPr>
      <w:r w:rsidRPr="39AFFE22" w:rsidR="3C7929B0">
        <w:rPr>
          <w:rFonts w:ascii="Aptos" w:hAnsi="Aptos" w:eastAsia="Aptos" w:cs="Aptos"/>
          <w:noProof w:val="0"/>
          <w:sz w:val="24"/>
          <w:szCs w:val="24"/>
          <w:lang w:val="en-US"/>
        </w:rPr>
        <w:t xml:space="preserve">BACHUR, RICHARD, and GRACE L. CAPUTO. “Bacteremia and meningitis among infants with urinary tract infections.” Pediatric Emergency Care, vol. 11, no. 5, Oct. 1995, pp. 280–284, https://doi.org/10.1097/00006565-199510000-00004.  </w:t>
      </w:r>
    </w:p>
    <w:p w:rsidR="3C7929B0" w:rsidP="39AFFE22" w:rsidRDefault="3C7929B0" w14:paraId="6B884680" w14:textId="78001D77">
      <w:pPr>
        <w:pStyle w:val="Normal"/>
      </w:pPr>
      <w:r w:rsidRPr="39AFFE22" w:rsidR="3C7929B0">
        <w:rPr>
          <w:rFonts w:ascii="Aptos" w:hAnsi="Aptos" w:eastAsia="Aptos" w:cs="Aptos"/>
          <w:noProof w:val="0"/>
          <w:sz w:val="24"/>
          <w:szCs w:val="24"/>
          <w:lang w:val="en-US"/>
        </w:rPr>
        <w:t xml:space="preserve">Cioffredi, Leigh-Anne, and Ravi Jhaveri. “Evaluation and management of Febrile Children.” JAMA Pediatrics, vol. 170, no. 8, 1 Aug. 2016, p. 794, https://doi.org/10.1001/jamapediatrics.2016.0596.  </w:t>
      </w:r>
    </w:p>
    <w:p w:rsidR="3C7929B0" w:rsidP="39AFFE22" w:rsidRDefault="3C7929B0" w14:paraId="605496A4" w14:textId="73DFC22F">
      <w:pPr>
        <w:pStyle w:val="Normal"/>
      </w:pPr>
      <w:r w:rsidRPr="39AFFE22" w:rsidR="3C7929B0">
        <w:rPr>
          <w:rFonts w:ascii="Aptos" w:hAnsi="Aptos" w:eastAsia="Aptos" w:cs="Aptos"/>
          <w:noProof w:val="0"/>
          <w:sz w:val="24"/>
          <w:szCs w:val="24"/>
          <w:lang w:val="en-US"/>
        </w:rPr>
        <w:t xml:space="preserve">Dargère, S., et al. “Contaminants in blood cultures: Importance, implications, interpretation and prevention.” Clinical Microbiology and Infection, vol. 24, no. 9, Sept. 2018, pp. 964–969, https://doi.org/10.1016/j.cmi.2018.03.030.  </w:t>
      </w:r>
    </w:p>
    <w:p w:rsidR="3C7929B0" w:rsidP="39AFFE22" w:rsidRDefault="3C7929B0" w14:paraId="5F3E4EDE" w14:textId="6AF47DDD">
      <w:pPr>
        <w:pStyle w:val="Normal"/>
      </w:pPr>
      <w:r w:rsidRPr="39AFFE22" w:rsidR="3C7929B0">
        <w:rPr>
          <w:rFonts w:ascii="Aptos" w:hAnsi="Aptos" w:eastAsia="Aptos" w:cs="Aptos"/>
          <w:noProof w:val="0"/>
          <w:sz w:val="24"/>
          <w:szCs w:val="24"/>
          <w:lang w:val="en-US"/>
        </w:rPr>
        <w:t xml:space="preserve">Gomez, Borja, et al. “Validation of the ‘step-by-step’ approach in the management of young febrile infants.” Pediatrics, vol. 138, no. 2, 1 Aug. 2016, https://doi.org/10.1542/peds.2015-4381.  </w:t>
      </w:r>
    </w:p>
    <w:p w:rsidR="3C7929B0" w:rsidP="39AFFE22" w:rsidRDefault="3C7929B0" w14:paraId="352DAB93" w14:textId="4AE8F88D">
      <w:pPr>
        <w:pStyle w:val="Normal"/>
      </w:pPr>
      <w:r w:rsidRPr="39AFFE22" w:rsidR="3C7929B0">
        <w:rPr>
          <w:rFonts w:ascii="Aptos" w:hAnsi="Aptos" w:eastAsia="Aptos" w:cs="Aptos"/>
          <w:noProof w:val="0"/>
          <w:sz w:val="24"/>
          <w:szCs w:val="24"/>
          <w:lang w:val="en-US"/>
        </w:rPr>
        <w:t xml:space="preserve">Green, Rebecca S., Laura F. Sartori, Brian E. Lee, et al. “Prevalence and management of invasive bacterial infections in febrile infants ages 2 to 6 months.” Annals of Emergency Medicine, vol. 80, no. 6, Dec. 2022, pp. 499–506, https://doi.org/10.1016/j.annemergmed.2022.06.014.  </w:t>
      </w:r>
    </w:p>
    <w:p w:rsidR="3C7929B0" w:rsidP="39AFFE22" w:rsidRDefault="3C7929B0" w14:paraId="4CF1DF2E" w14:textId="007BA7BE">
      <w:pPr>
        <w:pStyle w:val="Normal"/>
      </w:pPr>
      <w:r w:rsidRPr="39AFFE22" w:rsidR="3C7929B0">
        <w:rPr>
          <w:rFonts w:ascii="Aptos" w:hAnsi="Aptos" w:eastAsia="Aptos" w:cs="Aptos"/>
          <w:noProof w:val="0"/>
          <w:sz w:val="24"/>
          <w:szCs w:val="24"/>
          <w:lang w:val="en-US"/>
        </w:rPr>
        <w:t>Green, Rebecca S., Laura F. Sartori, Todd A. Florin, et al. “Predictors of invasive bacterial infection in febrile infants aged 2 to 6 months in the Emergency Department.” The Journal of Pediatrics, Mar. 2024, p. 114017, https://doi.org/10.1016/j.jpeds.2024.114017</w:t>
      </w:r>
      <w:r w:rsidRPr="39AFFE22" w:rsidR="3C7929B0">
        <w:rPr>
          <w:rFonts w:ascii="Aptos" w:hAnsi="Aptos" w:eastAsia="Aptos" w:cs="Aptos"/>
          <w:noProof w:val="0"/>
          <w:sz w:val="24"/>
          <w:szCs w:val="24"/>
          <w:lang w:val="en-US"/>
        </w:rPr>
        <w:t xml:space="preserve">.  </w:t>
      </w:r>
    </w:p>
    <w:p w:rsidR="3C7929B0" w:rsidP="39AFFE22" w:rsidRDefault="3C7929B0" w14:paraId="51FD443D" w14:textId="48E3AD7C">
      <w:pPr>
        <w:pStyle w:val="Normal"/>
        <w:rPr>
          <w:rFonts w:ascii="Aptos" w:hAnsi="Aptos" w:eastAsia="Aptos" w:cs="Aptos"/>
          <w:noProof w:val="0"/>
          <w:sz w:val="24"/>
          <w:szCs w:val="24"/>
          <w:lang w:val="en-US"/>
        </w:rPr>
      </w:pPr>
      <w:r w:rsidRPr="39AFFE22" w:rsidR="3C7929B0">
        <w:rPr>
          <w:rFonts w:ascii="Aptos" w:hAnsi="Aptos" w:eastAsia="Aptos" w:cs="Aptos"/>
          <w:noProof w:val="0"/>
          <w:sz w:val="24"/>
          <w:szCs w:val="24"/>
          <w:lang w:val="en-US"/>
        </w:rPr>
        <w:t xml:space="preserve">Greenhow, Tara L., et al. “Bacteremia in children 3 to 36 months old after introduction of conjugated pneumococcal vaccines.” Pediatrics, vol. 139, no. 4, 1 Apr. 2017, https://doi.org/10.1542/peds.2016-2098.  </w:t>
      </w:r>
    </w:p>
    <w:p w:rsidR="3C7929B0" w:rsidP="39AFFE22" w:rsidRDefault="3C7929B0" w14:paraId="700FAC22" w14:textId="69BFAF27">
      <w:pPr>
        <w:pStyle w:val="Normal"/>
      </w:pPr>
      <w:r w:rsidRPr="39AFFE22" w:rsidR="3C7929B0">
        <w:rPr>
          <w:rFonts w:ascii="Aptos" w:hAnsi="Aptos" w:eastAsia="Aptos" w:cs="Aptos"/>
          <w:noProof w:val="0"/>
          <w:sz w:val="24"/>
          <w:szCs w:val="24"/>
          <w:lang w:val="en-US"/>
        </w:rPr>
        <w:t xml:space="preserve">Herz, Arnd M., et al. “Changing epidemiology of outpatient bacteremia in 3- to 36-month-old children after the introduction of the heptavalent-conjugated pneumococcal vaccine.” The Pediatric Infectious Disease Journal, vol. 25, no. 4, Apr. 2006, pp. 293–300, https://doi.org/10.1097/01.inf.0000207485.39112.bf.  </w:t>
      </w:r>
    </w:p>
    <w:p w:rsidR="3C7929B0" w:rsidP="39AFFE22" w:rsidRDefault="3C7929B0" w14:paraId="37B8E025" w14:textId="1B4B7C2D">
      <w:pPr>
        <w:pStyle w:val="Normal"/>
      </w:pPr>
      <w:r w:rsidRPr="39AFFE22" w:rsidR="3C7929B0">
        <w:rPr>
          <w:rFonts w:ascii="Aptos" w:hAnsi="Aptos" w:eastAsia="Aptos" w:cs="Aptos"/>
          <w:noProof w:val="0"/>
          <w:sz w:val="24"/>
          <w:szCs w:val="24"/>
          <w:lang w:val="en-US"/>
        </w:rPr>
        <w:t xml:space="preserve">Kuppermann, Nathan, et al. “Predictors of occult pneumococcal bacteremia in Young Febrile Children.” Annals of Emergency Medicine, vol. 31, no. 6, June 1998, pp. 679–687, https://doi.org/10.1016/s0196-0644(98)70225-2.  </w:t>
      </w:r>
    </w:p>
    <w:p w:rsidR="3C7929B0" w:rsidP="39AFFE22" w:rsidRDefault="3C7929B0" w14:paraId="0063DB2E" w14:textId="5DAE4405">
      <w:pPr>
        <w:pStyle w:val="Normal"/>
      </w:pPr>
      <w:r w:rsidRPr="39AFFE22" w:rsidR="3C7929B0">
        <w:rPr>
          <w:rFonts w:ascii="Aptos" w:hAnsi="Aptos" w:eastAsia="Aptos" w:cs="Aptos"/>
          <w:noProof w:val="0"/>
          <w:sz w:val="24"/>
          <w:szCs w:val="24"/>
          <w:lang w:val="en-US"/>
        </w:rPr>
        <w:t xml:space="preserve">Michelson, Kenneth A, et al. “Height of fever and invasive bacterial infection.” Archives of Disease in Childhood, vol. 106, no. 6, 20 Aug. 2020, pp. 594–596, https://doi.org/10.1136/archdischild-2019-318548.  </w:t>
      </w:r>
    </w:p>
    <w:p w:rsidR="3C7929B0" w:rsidP="39AFFE22" w:rsidRDefault="3C7929B0" w14:paraId="2CD1A8C5" w14:textId="2D5B2372">
      <w:pPr>
        <w:pStyle w:val="Normal"/>
      </w:pPr>
      <w:r w:rsidRPr="39AFFE22" w:rsidR="3C7929B0">
        <w:rPr>
          <w:rFonts w:ascii="Aptos" w:hAnsi="Aptos" w:eastAsia="Aptos" w:cs="Aptos"/>
          <w:noProof w:val="0"/>
          <w:sz w:val="24"/>
          <w:szCs w:val="24"/>
          <w:lang w:val="en-US"/>
        </w:rPr>
        <w:t>Rosenfeld-Yehoshua, Noa, et al. “Hyperpyrexia and high fever as a predictor for serious bacterial infection (SBI) in children—a systematic review.” European Journal of Pediatrics, vol. 177, no. 3, 31 Jan. 2018, pp. 337–344, https://doi.org/10.1007/s00431-018-3098-x</w:t>
      </w:r>
    </w:p>
    <w:p w:rsidR="39AFFE22" w:rsidP="39AFFE22" w:rsidRDefault="39AFFE22" w14:paraId="3FCA714D" w14:textId="6BD421C2">
      <w:pPr>
        <w:pStyle w:val="Normal"/>
        <w:rPr>
          <w:rFonts w:ascii="Aptos" w:hAnsi="Aptos" w:eastAsia="Aptos" w:cs="Aptos"/>
          <w:noProof w:val="0"/>
          <w:sz w:val="24"/>
          <w:szCs w:val="24"/>
          <w:lang w:val="en-US"/>
        </w:rPr>
      </w:pPr>
    </w:p>
    <w:p w:rsidR="3C7929B0" w:rsidP="39AFFE22" w:rsidRDefault="3C7929B0" w14:paraId="05CD37D2" w14:textId="01862C3B">
      <w:pPr>
        <w:pStyle w:val="Normal"/>
      </w:pPr>
      <w:r w:rsidRPr="39AFFE22" w:rsidR="3C7929B0">
        <w:rPr>
          <w:rFonts w:ascii="Aptos" w:hAnsi="Aptos" w:eastAsia="Aptos" w:cs="Aptos"/>
          <w:noProof w:val="0"/>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b5f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DF3884"/>
    <w:rsid w:val="2407C710"/>
    <w:rsid w:val="39AFFE22"/>
    <w:rsid w:val="3C7929B0"/>
    <w:rsid w:val="73DF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3884"/>
  <w15:chartTrackingRefBased/>
  <w15:docId w15:val="{0413364A-1A7B-4C32-92F2-306F9D8557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abc71b2fa394e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2024-10-02T19:36:17.1375222Z</dcterms:created>
  <dcterms:modified xsi:type="dcterms:W3CDTF">2024-10-02T19:39:36.2592591Z</dcterms:modified>
  <dc:creator>Yu, Isabella</dc:creator>
  <lastModifiedBy>Yu, Isabella</lastModifiedBy>
</coreProperties>
</file>