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82"/>
        <w:ind w:left="228" w:right="0" w:firstLine="0"/>
        <w:jc w:val="center"/>
        <w:rPr>
          <w:sz w:val="36"/>
        </w:rPr>
      </w:pPr>
      <w:r>
        <w:rPr>
          <w:color w:val="003366"/>
          <w:sz w:val="36"/>
        </w:rPr>
        <w:t>Lasting</w:t>
      </w:r>
      <w:r>
        <w:rPr>
          <w:color w:val="003366"/>
          <w:spacing w:val="-13"/>
          <w:sz w:val="36"/>
        </w:rPr>
        <w:t> </w:t>
      </w:r>
      <w:r>
        <w:rPr>
          <w:color w:val="003366"/>
          <w:sz w:val="36"/>
        </w:rPr>
        <w:t>Echoes:</w:t>
      </w:r>
      <w:r>
        <w:rPr>
          <w:color w:val="003366"/>
          <w:spacing w:val="-13"/>
          <w:sz w:val="36"/>
        </w:rPr>
        <w:t> </w:t>
      </w:r>
      <w:r>
        <w:rPr>
          <w:color w:val="003366"/>
          <w:sz w:val="36"/>
        </w:rPr>
        <w:t>Thriving</w:t>
      </w:r>
      <w:r>
        <w:rPr>
          <w:color w:val="003366"/>
          <w:spacing w:val="-13"/>
          <w:sz w:val="36"/>
        </w:rPr>
        <w:t> </w:t>
      </w:r>
      <w:r>
        <w:rPr>
          <w:color w:val="003366"/>
          <w:sz w:val="36"/>
        </w:rPr>
        <w:t>or Surviving After Head and Neck Radiotherapy</w:t>
      </w:r>
    </w:p>
    <w:p>
      <w:pPr>
        <w:pStyle w:val="BodyText"/>
        <w:spacing w:before="54"/>
        <w:ind w:left="0"/>
        <w:rPr>
          <w:sz w:val="36"/>
        </w:rPr>
      </w:pPr>
    </w:p>
    <w:p>
      <w:pPr>
        <w:pStyle w:val="Heading1"/>
        <w:spacing w:line="242" w:lineRule="auto"/>
      </w:pPr>
      <w:r>
        <w:rPr/>
        <w:t>Managing</w:t>
      </w:r>
      <w:r>
        <w:rPr>
          <w:spacing w:val="-10"/>
        </w:rPr>
        <w:t> </w:t>
      </w:r>
      <w:r>
        <w:rPr/>
        <w:t>Late-Term</w:t>
      </w:r>
      <w:r>
        <w:rPr>
          <w:spacing w:val="-10"/>
        </w:rPr>
        <w:t> </w:t>
      </w:r>
      <w:r>
        <w:rPr/>
        <w:t>Effects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Optimal Quality of Life – Empowering clinicians and patients for life beyond treatment</w:t>
      </w:r>
    </w:p>
    <w:p>
      <w:pPr>
        <w:pStyle w:val="BodyText"/>
        <w:spacing w:before="45"/>
        <w:ind w:left="0"/>
        <w:rPr>
          <w:b/>
          <w:sz w:val="24"/>
        </w:rPr>
      </w:pPr>
    </w:p>
    <w:p>
      <w:pPr>
        <w:pStyle w:val="BodyText"/>
        <w:spacing w:line="249" w:lineRule="auto"/>
      </w:pPr>
      <w:r>
        <w:rPr/>
        <w:t>This session explores the long-lasting impact of radiotherapy on head and neck cancer survivors, focusing on late-term side effects such as xerostomia, dysphagia, trismus, lymphedema, pharyngoesophageal</w:t>
      </w:r>
      <w:r>
        <w:rPr>
          <w:spacing w:val="-2"/>
        </w:rPr>
        <w:t> </w:t>
      </w:r>
      <w:r>
        <w:rPr/>
        <w:t>stenosis,</w:t>
      </w:r>
      <w:r>
        <w:rPr>
          <w:spacing w:val="-2"/>
        </w:rPr>
        <w:t> </w:t>
      </w:r>
      <w:r>
        <w:rPr/>
        <w:t>dental</w:t>
      </w:r>
      <w:r>
        <w:rPr>
          <w:spacing w:val="-2"/>
        </w:rPr>
        <w:t> </w:t>
      </w:r>
      <w:r>
        <w:rPr/>
        <w:t>complications with osteoradionecrosis, and body image concerns. Participants will learn evidence-based strategies to manage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challenges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enhance</w:t>
      </w:r>
      <w:r>
        <w:rPr>
          <w:spacing w:val="-7"/>
        </w:rPr>
        <w:t> </w:t>
      </w:r>
      <w:r>
        <w:rPr/>
        <w:t>patient</w:t>
      </w:r>
      <w:r>
        <w:rPr>
          <w:spacing w:val="-7"/>
        </w:rPr>
        <w:t> </w:t>
      </w:r>
      <w:r>
        <w:rPr/>
        <w:t>well-being through multidisciplinary care and supportive </w:t>
      </w:r>
      <w:r>
        <w:rPr>
          <w:spacing w:val="-2"/>
        </w:rPr>
        <w:t>interventions.</w:t>
      </w:r>
    </w:p>
    <w:p>
      <w:pPr>
        <w:pStyle w:val="Heading1"/>
        <w:spacing w:before="66"/>
      </w:pPr>
      <w:r>
        <w:rPr/>
        <w:t>Learning </w:t>
      </w:r>
      <w:r>
        <w:rPr>
          <w:spacing w:val="-2"/>
        </w:rPr>
        <w:t>Objectives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271"/>
        <w:ind w:left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35" w:lineRule="auto" w:before="0" w:after="0"/>
        <w:ind w:left="280" w:right="286" w:firstLine="0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6"/>
          <w:sz w:val="20"/>
        </w:rPr>
        <w:t> </w:t>
      </w:r>
      <w:r>
        <w:rPr>
          <w:sz w:val="20"/>
        </w:rPr>
        <w:t>late-term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6"/>
          <w:sz w:val="20"/>
        </w:rPr>
        <w:t> </w:t>
      </w:r>
      <w:r>
        <w:rPr>
          <w:sz w:val="20"/>
        </w:rPr>
        <w:t>effects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radiotherapy</w:t>
      </w:r>
      <w:r>
        <w:rPr>
          <w:spacing w:val="-6"/>
          <w:sz w:val="20"/>
        </w:rPr>
        <w:t> </w:t>
      </w:r>
      <w:r>
        <w:rPr>
          <w:sz w:val="20"/>
        </w:rPr>
        <w:t>in head and neck cancer patients.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4" w:lineRule="auto" w:before="0" w:after="0"/>
        <w:ind w:left="280" w:right="238" w:firstLine="0"/>
        <w:jc w:val="left"/>
        <w:rPr>
          <w:sz w:val="20"/>
        </w:rPr>
      </w:pPr>
      <w:r>
        <w:rPr>
          <w:sz w:val="20"/>
        </w:rPr>
        <w:t>Gain a comprehensive understanding of evidence-based strategies to manage late-term radiotherapy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6"/>
          <w:sz w:val="20"/>
        </w:rPr>
        <w:t> </w:t>
      </w:r>
      <w:r>
        <w:rPr>
          <w:sz w:val="20"/>
        </w:rPr>
        <w:t>effects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cancer patients, aiming to optimize quality of life.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2" w:lineRule="auto" w:before="0" w:after="0"/>
        <w:ind w:left="280" w:right="809" w:firstLine="0"/>
        <w:jc w:val="left"/>
        <w:rPr>
          <w:sz w:val="20"/>
        </w:rPr>
      </w:pPr>
      <w:r>
        <w:rPr>
          <w:sz w:val="20"/>
        </w:rPr>
        <w:t>Explore</w:t>
      </w:r>
      <w:r>
        <w:rPr>
          <w:spacing w:val="-13"/>
          <w:sz w:val="20"/>
        </w:rPr>
        <w:t> </w:t>
      </w:r>
      <w:r>
        <w:rPr>
          <w:sz w:val="20"/>
        </w:rPr>
        <w:t>multidisciplinary</w:t>
      </w:r>
      <w:r>
        <w:rPr>
          <w:spacing w:val="-13"/>
          <w:sz w:val="20"/>
        </w:rPr>
        <w:t> </w:t>
      </w:r>
      <w:r>
        <w:rPr>
          <w:sz w:val="20"/>
        </w:rPr>
        <w:t>approaches</w:t>
      </w:r>
      <w:r>
        <w:rPr>
          <w:spacing w:val="-13"/>
          <w:sz w:val="20"/>
        </w:rPr>
        <w:t> </w:t>
      </w:r>
      <w:r>
        <w:rPr>
          <w:sz w:val="20"/>
        </w:rPr>
        <w:t>and supportive care interventions to enhance survivorship outcomes.</w:t>
      </w:r>
    </w:p>
    <w:p>
      <w:pPr>
        <w:pStyle w:val="Heading1"/>
        <w:spacing w:before="158"/>
      </w:pPr>
      <w:r>
        <w:rPr/>
        <w:t>Key </w:t>
      </w:r>
      <w:r>
        <w:rPr>
          <w:spacing w:val="-2"/>
        </w:rPr>
        <w:t>Points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7" w:lineRule="auto" w:before="65" w:after="0"/>
        <w:ind w:left="280" w:right="93" w:firstLine="0"/>
        <w:jc w:val="left"/>
        <w:rPr>
          <w:sz w:val="20"/>
        </w:rPr>
      </w:pPr>
      <w:r>
        <w:rPr>
          <w:sz w:val="20"/>
        </w:rPr>
        <w:t>Common Late Effects: Xerostomia, dysphagia, trismus, dental issues &amp; osteoradionecrosis, hypothyroidism, fibrosis, lymphedema, pharyngoesophageal</w:t>
      </w:r>
      <w:r>
        <w:rPr>
          <w:spacing w:val="-10"/>
          <w:sz w:val="20"/>
        </w:rPr>
        <w:t> </w:t>
      </w:r>
      <w:r>
        <w:rPr>
          <w:sz w:val="20"/>
        </w:rPr>
        <w:t>stenosis,</w:t>
      </w:r>
      <w:r>
        <w:rPr>
          <w:spacing w:val="-10"/>
          <w:sz w:val="20"/>
        </w:rPr>
        <w:t> </w:t>
      </w:r>
      <w:r>
        <w:rPr>
          <w:sz w:val="20"/>
        </w:rPr>
        <w:t>taste</w:t>
      </w:r>
      <w:r>
        <w:rPr>
          <w:spacing w:val="-10"/>
          <w:sz w:val="20"/>
        </w:rPr>
        <w:t> </w:t>
      </w:r>
      <w:r>
        <w:rPr>
          <w:sz w:val="20"/>
        </w:rPr>
        <w:t>changes,</w:t>
      </w:r>
      <w:r>
        <w:rPr>
          <w:spacing w:val="-10"/>
          <w:sz w:val="20"/>
        </w:rPr>
        <w:t> </w:t>
      </w:r>
      <w:r>
        <w:rPr>
          <w:sz w:val="20"/>
        </w:rPr>
        <w:t>body image concerns.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35" w:lineRule="auto" w:before="0" w:after="0"/>
        <w:ind w:left="280" w:right="531" w:firstLine="0"/>
        <w:jc w:val="left"/>
        <w:rPr>
          <w:sz w:val="20"/>
        </w:rPr>
      </w:pPr>
      <w:r>
        <w:rPr>
          <w:sz w:val="20"/>
        </w:rPr>
        <w:t>Management:</w:t>
      </w:r>
      <w:r>
        <w:rPr>
          <w:spacing w:val="-13"/>
          <w:sz w:val="20"/>
        </w:rPr>
        <w:t> </w:t>
      </w:r>
      <w:r>
        <w:rPr>
          <w:sz w:val="20"/>
        </w:rPr>
        <w:t>Saliva</w:t>
      </w:r>
      <w:r>
        <w:rPr>
          <w:spacing w:val="-13"/>
          <w:sz w:val="20"/>
        </w:rPr>
        <w:t> </w:t>
      </w:r>
      <w:r>
        <w:rPr>
          <w:sz w:val="20"/>
        </w:rPr>
        <w:t>substitutes,</w:t>
      </w:r>
      <w:r>
        <w:rPr>
          <w:spacing w:val="-13"/>
          <w:sz w:val="20"/>
        </w:rPr>
        <w:t> </w:t>
      </w:r>
      <w:r>
        <w:rPr>
          <w:sz w:val="20"/>
        </w:rPr>
        <w:t>swallowing exercises, jaw stretching, oral care, thyroid</w:t>
      </w:r>
    </w:p>
    <w:p>
      <w:pPr>
        <w:pStyle w:val="BodyText"/>
        <w:spacing w:line="227" w:lineRule="exact" w:before="1"/>
      </w:pPr>
      <w:r>
        <w:rPr/>
        <w:t>screening, physical therapy, psychosocial </w:t>
      </w:r>
      <w:r>
        <w:rPr>
          <w:spacing w:val="-2"/>
        </w:rPr>
        <w:t>support.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35" w:lineRule="auto" w:before="1" w:after="0"/>
        <w:ind w:left="280" w:right="620" w:firstLine="0"/>
        <w:jc w:val="left"/>
        <w:rPr>
          <w:sz w:val="20"/>
        </w:rPr>
      </w:pPr>
      <w:r>
        <w:rPr>
          <w:sz w:val="20"/>
        </w:rPr>
        <w:t>Support:</w:t>
      </w:r>
      <w:r>
        <w:rPr>
          <w:spacing w:val="-10"/>
          <w:sz w:val="20"/>
        </w:rPr>
        <w:t> </w:t>
      </w:r>
      <w:r>
        <w:rPr>
          <w:sz w:val="20"/>
        </w:rPr>
        <w:t>Address</w:t>
      </w:r>
      <w:r>
        <w:rPr>
          <w:spacing w:val="-10"/>
          <w:sz w:val="20"/>
        </w:rPr>
        <w:t> </w:t>
      </w:r>
      <w:r>
        <w:rPr>
          <w:sz w:val="20"/>
        </w:rPr>
        <w:t>fatigue,</w:t>
      </w:r>
      <w:r>
        <w:rPr>
          <w:spacing w:val="-10"/>
          <w:sz w:val="20"/>
        </w:rPr>
        <w:t> </w:t>
      </w:r>
      <w:r>
        <w:rPr>
          <w:sz w:val="20"/>
        </w:rPr>
        <w:t>anxiety,</w:t>
      </w:r>
      <w:r>
        <w:rPr>
          <w:spacing w:val="-10"/>
          <w:sz w:val="20"/>
        </w:rPr>
        <w:t> </w:t>
      </w:r>
      <w:r>
        <w:rPr>
          <w:sz w:val="20"/>
        </w:rPr>
        <w:t>nutrition; connect patients to support groups.</w:t>
      </w:r>
    </w:p>
    <w:p>
      <w:pPr>
        <w:pStyle w:val="Heading1"/>
        <w:spacing w:before="75"/>
      </w:pPr>
      <w:r>
        <w:rPr>
          <w:b w:val="0"/>
        </w:rPr>
        <w:br w:type="column"/>
      </w:r>
      <w:r>
        <w:rPr/>
        <w:t>Key </w:t>
      </w:r>
      <w:r>
        <w:rPr>
          <w:spacing w:val="-2"/>
        </w:rPr>
        <w:t>Takeaways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35" w:lineRule="auto" w:before="69" w:after="0"/>
        <w:ind w:left="280" w:right="907" w:firstLine="0"/>
        <w:jc w:val="left"/>
        <w:rPr>
          <w:sz w:val="20"/>
        </w:rPr>
      </w:pPr>
      <w:r>
        <w:rPr>
          <w:sz w:val="20"/>
        </w:rPr>
        <w:t>Early</w:t>
      </w:r>
      <w:r>
        <w:rPr>
          <w:spacing w:val="-10"/>
          <w:sz w:val="20"/>
        </w:rPr>
        <w:t> </w:t>
      </w:r>
      <w:r>
        <w:rPr>
          <w:sz w:val="20"/>
        </w:rPr>
        <w:t>detection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proactive</w:t>
      </w:r>
      <w:r>
        <w:rPr>
          <w:spacing w:val="-10"/>
          <w:sz w:val="20"/>
        </w:rPr>
        <w:t> </w:t>
      </w:r>
      <w:r>
        <w:rPr>
          <w:sz w:val="20"/>
        </w:rPr>
        <w:t>management improve outcomes.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6" w:lineRule="exact" w:before="0" w:after="0"/>
        <w:ind w:left="487" w:right="0" w:hanging="207"/>
        <w:jc w:val="left"/>
        <w:rPr>
          <w:sz w:val="20"/>
        </w:rPr>
      </w:pPr>
      <w:r>
        <w:rPr>
          <w:sz w:val="20"/>
        </w:rPr>
        <w:t>Collaboration and patient education are </w:t>
      </w:r>
      <w:r>
        <w:rPr>
          <w:spacing w:val="-2"/>
          <w:sz w:val="20"/>
        </w:rPr>
        <w:t>essential.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50" w:lineRule="exact" w:before="0" w:after="0"/>
        <w:ind w:left="487" w:right="0" w:hanging="207"/>
        <w:jc w:val="left"/>
        <w:rPr>
          <w:sz w:val="20"/>
        </w:rPr>
      </w:pPr>
      <w:r>
        <w:rPr>
          <w:sz w:val="20"/>
        </w:rPr>
        <w:t>Focus on quality of life beyond </w:t>
      </w:r>
      <w:r>
        <w:rPr>
          <w:spacing w:val="-2"/>
          <w:sz w:val="20"/>
        </w:rPr>
        <w:t>treatment.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9"/>
        <w:ind w:left="0"/>
      </w:pPr>
    </w:p>
    <w:p>
      <w:pPr>
        <w:pStyle w:val="Heading1"/>
      </w:pPr>
      <w:r>
        <w:rPr>
          <w:spacing w:val="-2"/>
        </w:rPr>
        <w:t>References</w:t>
      </w:r>
    </w:p>
    <w:p>
      <w:pPr>
        <w:pStyle w:val="BodyText"/>
        <w:spacing w:line="249" w:lineRule="auto" w:before="18"/>
        <w:ind w:right="593"/>
        <w:jc w:val="both"/>
      </w:pPr>
      <w:r>
        <w:rPr/>
        <w:t>Laan,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der,</w:t>
      </w:r>
      <w:r>
        <w:rPr>
          <w:spacing w:val="-4"/>
        </w:rPr>
        <w:t> </w:t>
      </w:r>
      <w:r>
        <w:rPr/>
        <w:t>Bosch,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den,</w:t>
      </w:r>
      <w:r>
        <w:rPr>
          <w:spacing w:val="-4"/>
        </w:rPr>
        <w:t> </w:t>
      </w:r>
      <w:r>
        <w:rPr/>
        <w:t>Schuit,</w:t>
      </w:r>
      <w:r>
        <w:rPr>
          <w:spacing w:val="-4"/>
        </w:rPr>
        <w:t> </w:t>
      </w:r>
      <w:r>
        <w:rPr/>
        <w:t>E., Steenbakkers, R. J. H. M., Schaaf, A. van der, &amp; Langendijk, J. A. (2021). Impact of</w:t>
      </w:r>
    </w:p>
    <w:p>
      <w:pPr>
        <w:pStyle w:val="BodyText"/>
        <w:spacing w:line="249" w:lineRule="auto" w:before="2"/>
        <w:ind w:right="893"/>
        <w:jc w:val="both"/>
      </w:pPr>
      <w:r>
        <w:rPr/>
        <w:t>radiation-induced</w:t>
      </w:r>
      <w:r>
        <w:rPr>
          <w:spacing w:val="-7"/>
        </w:rPr>
        <w:t> </w:t>
      </w:r>
      <w:r>
        <w:rPr/>
        <w:t>toxicities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quality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life</w:t>
      </w:r>
      <w:r>
        <w:rPr>
          <w:spacing w:val="-7"/>
        </w:rPr>
        <w:t> </w:t>
      </w:r>
      <w:r>
        <w:rPr/>
        <w:t>of patients treated for head and neck cancer.</w:t>
      </w:r>
    </w:p>
    <w:p>
      <w:pPr>
        <w:pStyle w:val="BodyText"/>
        <w:spacing w:line="249" w:lineRule="auto" w:before="2"/>
        <w:ind w:right="992"/>
        <w:jc w:val="both"/>
      </w:pPr>
      <w:r>
        <w:rPr/>
        <w:t>Radiotherapy and Oncology, 160, 47–53. </w:t>
      </w:r>
      <w:hyperlink r:id="rId5">
        <w:r>
          <w:rPr>
            <w:spacing w:val="-2"/>
          </w:rPr>
          <w:t>https://doi.org/10.1016/j.radonc.2021.04.011</w:t>
        </w:r>
      </w:hyperlink>
    </w:p>
    <w:p>
      <w:pPr>
        <w:pStyle w:val="BodyText"/>
        <w:spacing w:before="138"/>
        <w:ind w:left="0"/>
      </w:pPr>
    </w:p>
    <w:p>
      <w:pPr>
        <w:pStyle w:val="BodyText"/>
        <w:spacing w:line="249" w:lineRule="auto" w:before="1"/>
        <w:ind w:right="383"/>
      </w:pPr>
      <w:r>
        <w:rPr/>
        <w:t>National Comprehensive Cancer Network. (2025). Head and neck cancers: Survivorship guidelines. NCCN.</w:t>
      </w:r>
      <w:r>
        <w:rPr>
          <w:spacing w:val="-14"/>
        </w:rPr>
        <w:t> </w:t>
      </w:r>
      <w:hyperlink r:id="rId6">
        <w:r>
          <w:rPr/>
          <w:t>https://www.nccn.org/patients/guidelines/he</w:t>
        </w:r>
      </w:hyperlink>
      <w:r>
        <w:rPr/>
        <w:t> </w:t>
      </w:r>
      <w:r>
        <w:rPr>
          <w:spacing w:val="-2"/>
        </w:rPr>
        <w:t>ad-and-neck/index</w:t>
      </w:r>
    </w:p>
    <w:p>
      <w:pPr>
        <w:pStyle w:val="BodyText"/>
        <w:spacing w:before="13"/>
        <w:ind w:left="0"/>
      </w:pPr>
    </w:p>
    <w:p>
      <w:pPr>
        <w:pStyle w:val="BodyText"/>
        <w:spacing w:line="249" w:lineRule="auto"/>
      </w:pPr>
      <w:r>
        <w:rPr/>
        <w:t>Ueda,</w:t>
      </w:r>
      <w:r>
        <w:rPr>
          <w:spacing w:val="-5"/>
        </w:rPr>
        <w:t> </w:t>
      </w:r>
      <w:r>
        <w:rPr/>
        <w:t>Y.,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al.</w:t>
      </w:r>
      <w:r>
        <w:rPr>
          <w:spacing w:val="-5"/>
        </w:rPr>
        <w:t> </w:t>
      </w:r>
      <w:r>
        <w:rPr/>
        <w:t>(2023).</w:t>
      </w:r>
      <w:r>
        <w:rPr>
          <w:spacing w:val="-5"/>
        </w:rPr>
        <w:t> </w:t>
      </w:r>
      <w:r>
        <w:rPr/>
        <w:t>Supportive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Cancer, 31(4), 2157–2168.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spacing w:line="249" w:lineRule="auto" w:before="1"/>
        <w:ind w:left="280" w:right="1127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Prepared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by</w:t>
      </w:r>
      <w:r>
        <w:rPr>
          <w:b/>
          <w:spacing w:val="-9"/>
          <w:sz w:val="20"/>
        </w:rPr>
        <w:t> </w:t>
      </w:r>
      <w:r>
        <w:rPr>
          <w:b/>
          <w:spacing w:val="-4"/>
          <w:sz w:val="20"/>
        </w:rPr>
        <w:t>Christiana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Eze,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DNP-S,</w:t>
      </w:r>
      <w:r>
        <w:rPr>
          <w:b/>
          <w:spacing w:val="-9"/>
          <w:sz w:val="20"/>
        </w:rPr>
        <w:t> </w:t>
      </w:r>
      <w:r>
        <w:rPr>
          <w:b/>
          <w:spacing w:val="-4"/>
          <w:sz w:val="20"/>
        </w:rPr>
        <w:t>MSN, </w:t>
      </w:r>
      <w:r>
        <w:rPr>
          <w:b/>
          <w:sz w:val="20"/>
        </w:rPr>
        <w:t>FNP-BC, RN</w:t>
      </w:r>
    </w:p>
    <w:sectPr>
      <w:type w:val="continuous"/>
      <w:pgSz w:w="12240" w:h="15840"/>
      <w:pgMar w:top="1580" w:bottom="280" w:left="720" w:right="720"/>
      <w:cols w:num="2" w:equalWidth="0">
        <w:col w:w="4935" w:space="665"/>
        <w:col w:w="5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280" w:hanging="20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7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5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0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6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1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8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3" w:hanging="2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oi.org/10.1016/j.radonc.2021.04.011" TargetMode="External"/><Relationship Id="rId6" Type="http://schemas.openxmlformats.org/officeDocument/2006/relationships/hyperlink" Target="https://www.nccn.org/patients/guidelines/he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2026-01-01T00:19:08Z</dcterms:created>
  <dcterms:modified xsi:type="dcterms:W3CDTF">2026-01-01T00:19:08Z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2026-01-01T00:00:00Z</vt:filetime>
  </property>
  <property fmtid="{D5CDD505-2E9C-101B-9397-08002B2CF9AE}" pid="5" name="Producer">
    <vt:lpwstr>PDFium</vt:lpwstr>
  </property>
</Properties>
</file>